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154E" w14:textId="7942FCAF" w:rsidR="00683BA4" w:rsidRPr="001E73CF" w:rsidRDefault="00683BA4" w:rsidP="00683BA4">
      <w:pPr>
        <w:spacing w:line="480" w:lineRule="auto"/>
        <w:jc w:val="center"/>
        <w:rPr>
          <w:b/>
          <w:bCs/>
        </w:rPr>
      </w:pPr>
      <w:r>
        <w:rPr>
          <w:b/>
          <w:bCs/>
        </w:rPr>
        <w:t>Studying Science Inequities: How to Use Surveys to Study Diverse Populations</w:t>
      </w:r>
      <w:r w:rsidR="00044595">
        <w:rPr>
          <w:b/>
          <w:bCs/>
        </w:rPr>
        <w:t>*</w:t>
      </w:r>
    </w:p>
    <w:p w14:paraId="00000002" w14:textId="77777777" w:rsidR="007734B8" w:rsidRDefault="007734B8">
      <w:pPr>
        <w:ind w:firstLine="720"/>
        <w:jc w:val="center"/>
        <w:rPr>
          <w:b/>
        </w:rPr>
      </w:pPr>
    </w:p>
    <w:p w14:paraId="3A5FA819" w14:textId="6454AEFB" w:rsidR="00FF3114" w:rsidRDefault="00FF3114" w:rsidP="00FF3114">
      <w:pPr>
        <w:jc w:val="center"/>
      </w:pPr>
      <w:bookmarkStart w:id="0" w:name="_30j0zll" w:colFirst="0" w:colLast="0"/>
      <w:bookmarkEnd w:id="0"/>
      <w:r w:rsidRPr="005D3A5F">
        <w:t>Robin Bayes</w:t>
      </w:r>
      <w:r>
        <w:t xml:space="preserve"> (</w:t>
      </w:r>
      <w:r w:rsidRPr="005D3A5F">
        <w:t>Northwestern University</w:t>
      </w:r>
      <w:r>
        <w:t>)</w:t>
      </w:r>
      <w:r w:rsidR="00DE2EED">
        <w:rPr>
          <w:rStyle w:val="FootnoteReference"/>
        </w:rPr>
        <w:footnoteReference w:id="1"/>
      </w:r>
    </w:p>
    <w:p w14:paraId="0927AB2F" w14:textId="5872B86E" w:rsidR="00044595" w:rsidRDefault="00C77C72" w:rsidP="00044595">
      <w:pPr>
        <w:jc w:val="center"/>
      </w:pPr>
      <w:r w:rsidRPr="005D3A5F">
        <w:t>James N. Druckman</w:t>
      </w:r>
      <w:r w:rsidR="002D1FA7">
        <w:t xml:space="preserve"> (</w:t>
      </w:r>
      <w:r w:rsidRPr="005D3A5F">
        <w:t>Northwestern University</w:t>
      </w:r>
      <w:r w:rsidR="002D1FA7">
        <w:t>)</w:t>
      </w:r>
      <w:r w:rsidR="00DE2EED">
        <w:rPr>
          <w:rStyle w:val="FootnoteReference"/>
        </w:rPr>
        <w:footnoteReference w:id="2"/>
      </w:r>
    </w:p>
    <w:p w14:paraId="5C1D5B44" w14:textId="6C4D0AF8" w:rsidR="005D3A5F" w:rsidRDefault="006B3BF6" w:rsidP="00044595">
      <w:pPr>
        <w:jc w:val="center"/>
      </w:pPr>
      <w:r w:rsidRPr="006B3BF6">
        <w:t xml:space="preserve">Alauna C. Safarpour </w:t>
      </w:r>
      <w:r>
        <w:t>(Harvard University)</w:t>
      </w:r>
      <w:r w:rsidR="00DE2EED">
        <w:rPr>
          <w:rStyle w:val="FootnoteReference"/>
        </w:rPr>
        <w:footnoteReference w:id="3"/>
      </w:r>
    </w:p>
    <w:p w14:paraId="00000039" w14:textId="0BA9E41A" w:rsidR="007734B8" w:rsidRDefault="007734B8">
      <w:pPr>
        <w:jc w:val="center"/>
      </w:pPr>
    </w:p>
    <w:p w14:paraId="2C00174C" w14:textId="77777777" w:rsidR="00E629BC" w:rsidRDefault="00E629BC">
      <w:pPr>
        <w:rPr>
          <w:bCs/>
        </w:rPr>
      </w:pPr>
    </w:p>
    <w:p w14:paraId="64C45D2B" w14:textId="0BE0DB48" w:rsidR="00A4071B" w:rsidRDefault="00E629BC">
      <w:pPr>
        <w:rPr>
          <w:bCs/>
        </w:rPr>
      </w:pPr>
      <w:r>
        <w:rPr>
          <w:bCs/>
        </w:rPr>
        <w:t xml:space="preserve">Author </w:t>
      </w:r>
      <w:r w:rsidR="00A4071B">
        <w:rPr>
          <w:bCs/>
        </w:rPr>
        <w:t>Biograph</w:t>
      </w:r>
      <w:r>
        <w:rPr>
          <w:bCs/>
        </w:rPr>
        <w:t>ies</w:t>
      </w:r>
      <w:r w:rsidR="00A4071B">
        <w:rPr>
          <w:bCs/>
        </w:rPr>
        <w:t>:</w:t>
      </w:r>
    </w:p>
    <w:p w14:paraId="6BBEA40B" w14:textId="0BA82F30" w:rsidR="00A4071B" w:rsidRDefault="00A4071B">
      <w:pPr>
        <w:rPr>
          <w:bCs/>
        </w:rPr>
      </w:pPr>
    </w:p>
    <w:p w14:paraId="52ECC9EA" w14:textId="6D8DC94E" w:rsidR="00E629BC" w:rsidRDefault="00AE6CD5">
      <w:pPr>
        <w:rPr>
          <w:color w:val="222222"/>
          <w:shd w:val="clear" w:color="auto" w:fill="FFFFFF"/>
        </w:rPr>
      </w:pPr>
      <w:r>
        <w:rPr>
          <w:b/>
          <w:bCs/>
          <w:color w:val="222222"/>
          <w:shd w:val="clear" w:color="auto" w:fill="FFFFFF"/>
        </w:rPr>
        <w:t>Robin Bayes</w:t>
      </w:r>
      <w:r>
        <w:rPr>
          <w:color w:val="222222"/>
          <w:shd w:val="clear" w:color="auto" w:fill="FFFFFF"/>
        </w:rPr>
        <w:t> is a Ph</w:t>
      </w:r>
      <w:r w:rsidR="0039610C">
        <w:rPr>
          <w:color w:val="222222"/>
          <w:shd w:val="clear" w:color="auto" w:fill="FFFFFF"/>
        </w:rPr>
        <w:t>.</w:t>
      </w:r>
      <w:r>
        <w:rPr>
          <w:color w:val="222222"/>
          <w:shd w:val="clear" w:color="auto" w:fill="FFFFFF"/>
        </w:rPr>
        <w:t>D</w:t>
      </w:r>
      <w:r w:rsidR="0039610C">
        <w:rPr>
          <w:color w:val="222222"/>
          <w:shd w:val="clear" w:color="auto" w:fill="FFFFFF"/>
        </w:rPr>
        <w:t>.</w:t>
      </w:r>
      <w:r>
        <w:rPr>
          <w:color w:val="222222"/>
          <w:shd w:val="clear" w:color="auto" w:fill="FFFFFF"/>
        </w:rPr>
        <w:t xml:space="preserve"> candidate in Political Science at Northwestern University. Her research centers on science communication and</w:t>
      </w:r>
      <w:r w:rsidR="00AE13D7">
        <w:rPr>
          <w:color w:val="222222"/>
          <w:shd w:val="clear" w:color="auto" w:fill="FFFFFF"/>
        </w:rPr>
        <w:t xml:space="preserve"> the</w:t>
      </w:r>
      <w:r>
        <w:rPr>
          <w:color w:val="222222"/>
          <w:shd w:val="clear" w:color="auto" w:fill="FFFFFF"/>
        </w:rPr>
        <w:t xml:space="preserve"> science beliefs and attitudes </w:t>
      </w:r>
      <w:r w:rsidR="00AE13D7">
        <w:rPr>
          <w:color w:val="222222"/>
          <w:shd w:val="clear" w:color="auto" w:fill="FFFFFF"/>
        </w:rPr>
        <w:t>of</w:t>
      </w:r>
      <w:r>
        <w:rPr>
          <w:color w:val="222222"/>
          <w:shd w:val="clear" w:color="auto" w:fill="FFFFFF"/>
        </w:rPr>
        <w:t xml:space="preserve"> the U.S. public.</w:t>
      </w:r>
    </w:p>
    <w:p w14:paraId="786CB232" w14:textId="77777777" w:rsidR="00AE6CD5" w:rsidRDefault="00AE6CD5">
      <w:pPr>
        <w:rPr>
          <w:bCs/>
        </w:rPr>
      </w:pPr>
    </w:p>
    <w:p w14:paraId="7B5B2C9B" w14:textId="307D0B3B" w:rsidR="00E629BC" w:rsidRDefault="00E629BC">
      <w:pPr>
        <w:rPr>
          <w:bCs/>
        </w:rPr>
      </w:pPr>
      <w:r w:rsidRPr="00E629BC">
        <w:rPr>
          <w:b/>
        </w:rPr>
        <w:t>James N. Druckman</w:t>
      </w:r>
      <w:r>
        <w:rPr>
          <w:bCs/>
        </w:rPr>
        <w:t xml:space="preserve"> is </w:t>
      </w:r>
      <w:r w:rsidRPr="00E629BC">
        <w:rPr>
          <w:bCs/>
        </w:rPr>
        <w:t>the Payson S. Wild Professor of Political Science and Faculty Fellow at the Institute for Policy Research at Northwestern University. He is also an Honorary Professor of Political Science at Aarhus University in Denmark.</w:t>
      </w:r>
    </w:p>
    <w:p w14:paraId="4CAD8FC6" w14:textId="1A8A8D5D" w:rsidR="00A4071B" w:rsidRDefault="00A4071B">
      <w:pPr>
        <w:rPr>
          <w:bCs/>
        </w:rPr>
      </w:pPr>
    </w:p>
    <w:p w14:paraId="505DD897" w14:textId="21360340" w:rsidR="00E629BC" w:rsidRDefault="00E629BC">
      <w:r w:rsidRPr="00E629BC">
        <w:rPr>
          <w:b/>
          <w:bCs/>
        </w:rPr>
        <w:t>Alauna C. Safarpour</w:t>
      </w:r>
      <w:r>
        <w:t xml:space="preserve"> is</w:t>
      </w:r>
      <w:r w:rsidR="00BF5D5C" w:rsidRPr="00BF5D5C">
        <w:t xml:space="preserve"> a postdoctoral fellow at Harvard University's Kennedy School of Government. Her research focuses on prejudice reduction, public opinion of racial and ethnic minorities, and American racial attitudes. </w:t>
      </w:r>
    </w:p>
    <w:p w14:paraId="0BCA3339" w14:textId="671BD2AB" w:rsidR="00E629BC" w:rsidRDefault="00E629BC"/>
    <w:p w14:paraId="316DD678" w14:textId="77777777" w:rsidR="00E629BC" w:rsidRDefault="00E629BC">
      <w:pPr>
        <w:rPr>
          <w:bCs/>
        </w:rPr>
      </w:pPr>
    </w:p>
    <w:p w14:paraId="0000003F" w14:textId="77777777" w:rsidR="007734B8" w:rsidRDefault="007734B8">
      <w:pPr>
        <w:ind w:firstLine="720"/>
        <w:jc w:val="center"/>
        <w:rPr>
          <w:b/>
        </w:rPr>
      </w:pPr>
    </w:p>
    <w:p w14:paraId="28D60900" w14:textId="6CFD9EC1" w:rsidR="003E6E0A" w:rsidRDefault="00044595">
      <w:pPr>
        <w:spacing w:after="160" w:line="259" w:lineRule="auto"/>
      </w:pPr>
      <w:r>
        <w:t>*</w:t>
      </w:r>
      <w:r w:rsidR="00050C4A">
        <w:t xml:space="preserve">Note: </w:t>
      </w:r>
      <w:r>
        <w:t>The idea for this paper originated from the activities of the S</w:t>
      </w:r>
      <w:r w:rsidRPr="000E40B1">
        <w:t>tanding Committee on Advancing</w:t>
      </w:r>
      <w:r>
        <w:t xml:space="preserve"> </w:t>
      </w:r>
      <w:r w:rsidRPr="000E40B1">
        <w:t xml:space="preserve">Science Communication Research and Practice, </w:t>
      </w:r>
      <w:r>
        <w:t xml:space="preserve">The </w:t>
      </w:r>
      <w:r w:rsidRPr="000E40B1">
        <w:t>National Academies of Sciences</w:t>
      </w:r>
      <w:r>
        <w:t xml:space="preserve">. We thank the members </w:t>
      </w:r>
      <w:r w:rsidR="008F07B3">
        <w:t xml:space="preserve">and leaders </w:t>
      </w:r>
      <w:r>
        <w:t xml:space="preserve">of the committee including </w:t>
      </w:r>
      <w:r w:rsidRPr="005D3A5F">
        <w:t>Ann Bartuska</w:t>
      </w:r>
      <w:r>
        <w:t xml:space="preserve"> (</w:t>
      </w:r>
      <w:r w:rsidRPr="005D3A5F">
        <w:t>Resources for the Future</w:t>
      </w:r>
      <w:r>
        <w:t xml:space="preserve">), </w:t>
      </w:r>
      <w:r w:rsidRPr="005D3A5F">
        <w:t>Angela Bednarek</w:t>
      </w:r>
      <w:r>
        <w:t xml:space="preserve"> (</w:t>
      </w:r>
      <w:r w:rsidRPr="005D3A5F">
        <w:t>The Pew Charitable Trusts</w:t>
      </w:r>
      <w:r>
        <w:t xml:space="preserve">), </w:t>
      </w:r>
      <w:r w:rsidRPr="005D3A5F">
        <w:t>Georges Benjamin</w:t>
      </w:r>
      <w:r>
        <w:t xml:space="preserve"> (</w:t>
      </w:r>
      <w:r w:rsidRPr="005D3A5F">
        <w:t>American Public Health Association</w:t>
      </w:r>
      <w:r>
        <w:t xml:space="preserve">), </w:t>
      </w:r>
      <w:r w:rsidRPr="005D3A5F">
        <w:t>Cynthia Coburn</w:t>
      </w:r>
      <w:r>
        <w:t xml:space="preserve"> (</w:t>
      </w:r>
      <w:r w:rsidRPr="005D3A5F">
        <w:t>Northwestern University</w:t>
      </w:r>
      <w:r>
        <w:t xml:space="preserve">), </w:t>
      </w:r>
      <w:r w:rsidRPr="005D3A5F">
        <w:t>Kirsten Ellenbogen</w:t>
      </w:r>
      <w:r>
        <w:t xml:space="preserve"> (</w:t>
      </w:r>
      <w:r w:rsidRPr="005D3A5F">
        <w:t>Great Lakes Science Center</w:t>
      </w:r>
      <w:r>
        <w:t xml:space="preserve">), </w:t>
      </w:r>
      <w:r w:rsidRPr="005D3A5F">
        <w:t>John Gastil</w:t>
      </w:r>
      <w:r>
        <w:t xml:space="preserve"> (</w:t>
      </w:r>
      <w:r w:rsidRPr="005D3A5F">
        <w:t>Pennsylvania State University</w:t>
      </w:r>
      <w:r>
        <w:t xml:space="preserve">), </w:t>
      </w:r>
      <w:r w:rsidRPr="005D3A5F">
        <w:t>William K. Hallman</w:t>
      </w:r>
      <w:r>
        <w:t xml:space="preserve"> (</w:t>
      </w:r>
      <w:r w:rsidRPr="005D3A5F">
        <w:t>Rutgers University</w:t>
      </w:r>
      <w:r>
        <w:t xml:space="preserve">), </w:t>
      </w:r>
      <w:r w:rsidRPr="005D3A5F">
        <w:t xml:space="preserve">Laura Helmuth </w:t>
      </w:r>
      <w:r>
        <w:t>(</w:t>
      </w:r>
      <w:r w:rsidRPr="005D3A5F">
        <w:t>Scientific American</w:t>
      </w:r>
      <w:r>
        <w:t xml:space="preserve">), </w:t>
      </w:r>
      <w:r w:rsidRPr="005D3A5F">
        <w:t>David Lazer</w:t>
      </w:r>
      <w:r>
        <w:t xml:space="preserve"> (</w:t>
      </w:r>
      <w:r w:rsidRPr="005D3A5F">
        <w:t>Northeastern University</w:t>
      </w:r>
      <w:r>
        <w:t xml:space="preserve">), </w:t>
      </w:r>
      <w:r w:rsidRPr="005D3A5F">
        <w:t>Elizabeth Loftus</w:t>
      </w:r>
      <w:r>
        <w:t xml:space="preserve"> (</w:t>
      </w:r>
      <w:r w:rsidRPr="005D3A5F">
        <w:t>University of California, Irvine</w:t>
      </w:r>
      <w:r>
        <w:t xml:space="preserve">),  </w:t>
      </w:r>
      <w:r w:rsidRPr="005D3A5F">
        <w:t>Amelie G. Ramirez</w:t>
      </w:r>
      <w:r>
        <w:t xml:space="preserve"> (</w:t>
      </w:r>
      <w:r w:rsidRPr="005D3A5F">
        <w:t>University of Texas Health Science Center of San Antonio</w:t>
      </w:r>
      <w:r>
        <w:t>),</w:t>
      </w:r>
      <w:r w:rsidR="008F07B3">
        <w:t xml:space="preserve"> Holly Rhodes (National Academies of Sciences),</w:t>
      </w:r>
      <w:r>
        <w:t xml:space="preserve"> Pamela Ronald (University of California, Davis), </w:t>
      </w:r>
      <w:r w:rsidRPr="005D3A5F">
        <w:t xml:space="preserve">Dietram A. Scheufele </w:t>
      </w:r>
      <w:r>
        <w:t>(</w:t>
      </w:r>
      <w:r w:rsidRPr="005D3A5F">
        <w:t>University of Wisconsin</w:t>
      </w:r>
      <w:r>
        <w:t xml:space="preserve">), K. Viswanath (Harvard University), and </w:t>
      </w:r>
      <w:r w:rsidRPr="005D3A5F">
        <w:t>Itzhak Yanovitzky</w:t>
      </w:r>
      <w:r>
        <w:t xml:space="preserve"> (</w:t>
      </w:r>
      <w:r w:rsidRPr="005D3A5F">
        <w:t>Rutgers University</w:t>
      </w:r>
      <w:r>
        <w:t>).</w:t>
      </w:r>
      <w:r w:rsidR="003E6E0A">
        <w:t xml:space="preserve"> We also thank </w:t>
      </w:r>
      <w:r w:rsidR="003E6E0A" w:rsidRPr="003E6E0A">
        <w:t>Peter Enns</w:t>
      </w:r>
      <w:r w:rsidR="003E6E0A">
        <w:t xml:space="preserve">, </w:t>
      </w:r>
      <w:r w:rsidR="003E6E0A" w:rsidRPr="003E6E0A">
        <w:t>Bruce Lewenstein</w:t>
      </w:r>
      <w:r w:rsidR="003E6E0A">
        <w:t xml:space="preserve">, </w:t>
      </w:r>
      <w:r w:rsidR="008F07B3">
        <w:t xml:space="preserve">Neil Lewis, </w:t>
      </w:r>
      <w:r w:rsidR="00B44B93">
        <w:t xml:space="preserve">Rachel McCloud, </w:t>
      </w:r>
      <w:r w:rsidR="003E6E0A">
        <w:t xml:space="preserve">Jon </w:t>
      </w:r>
      <w:r w:rsidR="003E6E0A" w:rsidRPr="003E6E0A">
        <w:t>Schuldt</w:t>
      </w:r>
      <w:r w:rsidR="003E6E0A">
        <w:t>,</w:t>
      </w:r>
      <w:r w:rsidR="003E6E0A" w:rsidRPr="003E6E0A">
        <w:t xml:space="preserve"> Brian Southwell</w:t>
      </w:r>
      <w:r w:rsidR="003E6E0A">
        <w:t>, and</w:t>
      </w:r>
      <w:r w:rsidR="003E6E0A" w:rsidRPr="003E6E0A">
        <w:t xml:space="preserve"> </w:t>
      </w:r>
      <w:r w:rsidR="003E6E0A">
        <w:t xml:space="preserve">Vish </w:t>
      </w:r>
      <w:r w:rsidR="003E6E0A" w:rsidRPr="003E6E0A">
        <w:t>Viswanath</w:t>
      </w:r>
      <w:r w:rsidR="00B44B93">
        <w:t xml:space="preserve"> for extremely helpful conversations and feedback.</w:t>
      </w:r>
    </w:p>
    <w:p w14:paraId="2BB2D6EC" w14:textId="77777777" w:rsidR="00B02579" w:rsidRDefault="00B02579">
      <w:pPr>
        <w:spacing w:after="160" w:line="259" w:lineRule="auto"/>
      </w:pPr>
      <w:r>
        <w:br w:type="page"/>
      </w:r>
    </w:p>
    <w:p w14:paraId="06EBE132" w14:textId="77777777" w:rsidR="00B02579" w:rsidRDefault="00B02579" w:rsidP="00B02579">
      <w:pPr>
        <w:jc w:val="center"/>
        <w:rPr>
          <w:b/>
        </w:rPr>
      </w:pPr>
      <w:r>
        <w:rPr>
          <w:b/>
        </w:rPr>
        <w:lastRenderedPageBreak/>
        <w:t>Abstract</w:t>
      </w:r>
    </w:p>
    <w:p w14:paraId="03B849BE" w14:textId="77777777" w:rsidR="00B02579" w:rsidRDefault="00B02579" w:rsidP="00B02579">
      <w:pPr>
        <w:rPr>
          <w:bCs/>
        </w:rPr>
      </w:pPr>
    </w:p>
    <w:p w14:paraId="222AFD41" w14:textId="36B4CCFB" w:rsidR="00B02579" w:rsidRDefault="00B02579" w:rsidP="00B02579">
      <w:pPr>
        <w:spacing w:line="480" w:lineRule="auto"/>
        <w:rPr>
          <w:bCs/>
        </w:rPr>
      </w:pPr>
      <w:r>
        <w:rPr>
          <w:bCs/>
        </w:rPr>
        <w:t xml:space="preserve">Inequities in science have long been documented in the United States. </w:t>
      </w:r>
      <w:proofErr w:type="gramStart"/>
      <w:r>
        <w:rPr>
          <w:bCs/>
        </w:rPr>
        <w:t>Particular groups</w:t>
      </w:r>
      <w:proofErr w:type="gramEnd"/>
      <w:r>
        <w:rPr>
          <w:bCs/>
        </w:rPr>
        <w:t xml:space="preserve"> such as low</w:t>
      </w:r>
      <w:r w:rsidR="007C2BAE">
        <w:rPr>
          <w:bCs/>
        </w:rPr>
        <w:t>-</w:t>
      </w:r>
      <w:r>
        <w:rPr>
          <w:bCs/>
        </w:rPr>
        <w:t>income, non-White people and indigenous people fare worse when it comes to healthcare, infectious diseases, climate change, and access to technology. These types of inequities can be partially addressed with targeted interventions aimed at facilitating access to scientific information. Doing so requires knowledge about what different groups think when it comes to relevant scientific topics. Yet, most data collections on science-based issues do not include enough respondents from these populations. We discuss this gap and offer an overview of pertinent sampling and administrative considerations in studying underserved populations. A sustained effort to study diverse populations, including through community partnerships, can help address extant inequities.</w:t>
      </w:r>
    </w:p>
    <w:p w14:paraId="66426208" w14:textId="77777777" w:rsidR="00B02579" w:rsidRDefault="00B02579" w:rsidP="00B02579">
      <w:pPr>
        <w:rPr>
          <w:bCs/>
        </w:rPr>
      </w:pPr>
    </w:p>
    <w:p w14:paraId="1BB7A852" w14:textId="77777777" w:rsidR="00B02579" w:rsidRDefault="00B02579" w:rsidP="00B02579">
      <w:pPr>
        <w:rPr>
          <w:bCs/>
        </w:rPr>
      </w:pPr>
      <w:r w:rsidRPr="00EC467D">
        <w:rPr>
          <w:bCs/>
          <w:i/>
          <w:iCs/>
        </w:rPr>
        <w:t>Keywords:</w:t>
      </w:r>
      <w:r>
        <w:rPr>
          <w:bCs/>
        </w:rPr>
        <w:t xml:space="preserve"> inequality; survey research; sampling; racial disparities; COVID-19; climate change; science communication.</w:t>
      </w:r>
    </w:p>
    <w:p w14:paraId="6FC11C57" w14:textId="77777777" w:rsidR="00B02579" w:rsidRDefault="00B02579" w:rsidP="00B02579">
      <w:pPr>
        <w:rPr>
          <w:bCs/>
        </w:rPr>
      </w:pPr>
    </w:p>
    <w:p w14:paraId="44A6AFD6" w14:textId="71ECFD00" w:rsidR="00E629BC" w:rsidRDefault="00E629BC">
      <w:pPr>
        <w:spacing w:after="160" w:line="259" w:lineRule="auto"/>
      </w:pPr>
      <w:r>
        <w:br w:type="page"/>
      </w:r>
    </w:p>
    <w:p w14:paraId="0E4215C1" w14:textId="57B48692" w:rsidR="00FF3242" w:rsidRDefault="00963DD0">
      <w:pPr>
        <w:spacing w:line="480" w:lineRule="auto"/>
        <w:ind w:firstLine="720"/>
      </w:pPr>
      <w:r>
        <w:lastRenderedPageBreak/>
        <w:t>S</w:t>
      </w:r>
      <w:r w:rsidR="00473C96">
        <w:t xml:space="preserve">cientists in the United States have </w:t>
      </w:r>
      <w:r w:rsidR="00FF3242">
        <w:t>made</w:t>
      </w:r>
      <w:r w:rsidR="00473C96">
        <w:t xml:space="preserve"> transformative discoveries that</w:t>
      </w:r>
      <w:r>
        <w:t xml:space="preserve"> have</w:t>
      </w:r>
      <w:r w:rsidR="00473C96">
        <w:t xml:space="preserve"> </w:t>
      </w:r>
      <w:r>
        <w:t xml:space="preserve">improved </w:t>
      </w:r>
      <w:r w:rsidR="00113B08">
        <w:t>societal well-being</w:t>
      </w:r>
      <w:r>
        <w:t>. Yet</w:t>
      </w:r>
      <w:r w:rsidR="00113B08">
        <w:t>, t</w:t>
      </w:r>
      <w:r w:rsidR="00473C96">
        <w:t xml:space="preserve">he United States also has a long, unsettling history </w:t>
      </w:r>
      <w:r w:rsidR="007C711B">
        <w:t xml:space="preserve">of </w:t>
      </w:r>
      <w:r w:rsidR="00473C96">
        <w:t xml:space="preserve">unequal access to these advances. </w:t>
      </w:r>
      <w:r w:rsidR="00113B08">
        <w:t>This unequal access</w:t>
      </w:r>
      <w:r w:rsidR="00147837">
        <w:t xml:space="preserve"> exacerbates</w:t>
      </w:r>
      <w:r w:rsidR="00113B08">
        <w:t xml:space="preserve"> </w:t>
      </w:r>
      <w:r w:rsidR="00473C96">
        <w:t xml:space="preserve">disparate impacts of science related phenomena, such as climate change and COVID-19, </w:t>
      </w:r>
      <w:r w:rsidR="001612FC">
        <w:t xml:space="preserve">on </w:t>
      </w:r>
      <w:r w:rsidR="00147837">
        <w:t xml:space="preserve">vulnerable </w:t>
      </w:r>
      <w:r w:rsidR="001612FC">
        <w:t xml:space="preserve">populations. </w:t>
      </w:r>
      <w:r w:rsidR="00406C53">
        <w:t xml:space="preserve">In part, </w:t>
      </w:r>
      <w:r w:rsidR="00142607">
        <w:t>these problems</w:t>
      </w:r>
      <w:r w:rsidR="00406C53">
        <w:t xml:space="preserve"> </w:t>
      </w:r>
      <w:r w:rsidR="00142607">
        <w:t xml:space="preserve">are </w:t>
      </w:r>
      <w:r w:rsidR="008F07B3">
        <w:t>intensified</w:t>
      </w:r>
      <w:r w:rsidR="00406C53">
        <w:t xml:space="preserve"> </w:t>
      </w:r>
      <w:r w:rsidR="00142607">
        <w:t>by</w:t>
      </w:r>
      <w:r w:rsidR="00406C53">
        <w:t xml:space="preserve"> the fact that research </w:t>
      </w:r>
      <w:r w:rsidR="00FF3242">
        <w:t xml:space="preserve">documenting </w:t>
      </w:r>
      <w:r w:rsidR="00A9543D">
        <w:t>inequities</w:t>
      </w:r>
      <w:r w:rsidR="00FF3242">
        <w:t xml:space="preserve"> retrospectively </w:t>
      </w:r>
      <w:r w:rsidR="00406C53">
        <w:t xml:space="preserve">is far more prevalent </w:t>
      </w:r>
      <w:r w:rsidR="00FF3242">
        <w:t xml:space="preserve">than </w:t>
      </w:r>
      <w:r w:rsidR="00406C53">
        <w:t xml:space="preserve">research </w:t>
      </w:r>
      <w:r w:rsidR="00FF3242">
        <w:t xml:space="preserve">studying differences between groups prospectively. COVID-19 serves as a painful example: Had there been sufficient </w:t>
      </w:r>
      <w:r w:rsidR="00147837">
        <w:t xml:space="preserve">focus on minority and lower-income groups in studies of </w:t>
      </w:r>
      <w:r w:rsidR="00FF3242">
        <w:t>science communication, trust in science</w:t>
      </w:r>
      <w:r w:rsidR="000A5FD5">
        <w:t xml:space="preserve"> and</w:t>
      </w:r>
      <w:r w:rsidR="00FF3242">
        <w:t xml:space="preserve"> vaccine messaging,</w:t>
      </w:r>
      <w:r w:rsidR="00147837">
        <w:t xml:space="preserve"> interventions may have mitigated inequities in COVID-19 impacts</w:t>
      </w:r>
      <w:r w:rsidR="00FF3242">
        <w:t xml:space="preserve">. This is not to </w:t>
      </w:r>
      <w:r w:rsidR="00541CDE">
        <w:t>suggest that</w:t>
      </w:r>
      <w:r w:rsidR="00FF3242">
        <w:t xml:space="preserve"> </w:t>
      </w:r>
      <w:r w:rsidR="00541CDE">
        <w:t xml:space="preserve">more </w:t>
      </w:r>
      <w:r w:rsidR="00FF3242">
        <w:t xml:space="preserve">study and data </w:t>
      </w:r>
      <w:r w:rsidR="00541CDE">
        <w:t xml:space="preserve">would undo the </w:t>
      </w:r>
      <w:r w:rsidR="00FF3242">
        <w:t>realities of structural racism and uneven living conditions</w:t>
      </w:r>
      <w:r w:rsidR="00541CDE">
        <w:t xml:space="preserve">, but it could </w:t>
      </w:r>
      <w:r w:rsidR="000A5FD5">
        <w:t xml:space="preserve">provide crucial information to limit the multiplication of </w:t>
      </w:r>
      <w:r w:rsidR="00541CDE">
        <w:t xml:space="preserve">vulnerabilities.  </w:t>
      </w:r>
    </w:p>
    <w:p w14:paraId="01E21B5A" w14:textId="004538C6" w:rsidR="009271BA" w:rsidRDefault="001158E7" w:rsidP="009271BA">
      <w:pPr>
        <w:spacing w:line="480" w:lineRule="auto"/>
        <w:ind w:firstLine="720"/>
      </w:pPr>
      <w:r>
        <w:t xml:space="preserve">We call on the social science community to invest more in collecting data on how various demographic groups </w:t>
      </w:r>
      <w:r w:rsidR="007C2509">
        <w:t xml:space="preserve">in the U.S. </w:t>
      </w:r>
      <w:r w:rsidR="001C1EE3">
        <w:t>understand</w:t>
      </w:r>
      <w:r w:rsidR="009271BA">
        <w:t>, form opinions, and take actions when it comes to science and science related topics</w:t>
      </w:r>
      <w:r w:rsidR="00EE1808">
        <w:t xml:space="preserve"> (also see </w:t>
      </w:r>
      <w:r w:rsidR="00EE1808" w:rsidRPr="00EE1808">
        <w:t>Bilheimer and Sisk</w:t>
      </w:r>
      <w:r w:rsidR="00EE1808">
        <w:t xml:space="preserve"> 2008, </w:t>
      </w:r>
      <w:r w:rsidR="009B7BED" w:rsidRPr="009B7BED">
        <w:t>Welles</w:t>
      </w:r>
      <w:r w:rsidR="009B7BED">
        <w:t xml:space="preserve"> 2014).</w:t>
      </w:r>
      <w:r w:rsidR="009271BA">
        <w:t xml:space="preserve"> Such data </w:t>
      </w:r>
      <w:r w:rsidR="008F07B3">
        <w:t xml:space="preserve">–particularly when collected via partnerships with community representatives and members – </w:t>
      </w:r>
      <w:r w:rsidR="009271BA">
        <w:t>will facilitate the design of effective interventions so that people from different backgrounds can use science when it comes to health care, pandemics, climate change, the environment, energy, new technologies, food choices, and more. In line with this perspective, on their first day in office, the Biden administration established the Equitable Data Working Group, noting: “a first step to promoting equity in Government action is to gather the data necessary to inform that effort.”</w:t>
      </w:r>
    </w:p>
    <w:p w14:paraId="7E955CBF" w14:textId="5546736E" w:rsidR="00B61598" w:rsidRDefault="000A5FD5" w:rsidP="00B61598">
      <w:pPr>
        <w:spacing w:line="480" w:lineRule="auto"/>
        <w:rPr>
          <w:b/>
          <w:bCs/>
          <w:color w:val="000000"/>
        </w:rPr>
      </w:pPr>
      <w:r>
        <w:rPr>
          <w:b/>
          <w:bCs/>
          <w:color w:val="000000"/>
        </w:rPr>
        <w:t>Unequal</w:t>
      </w:r>
      <w:r w:rsidR="00B61598">
        <w:rPr>
          <w:b/>
          <w:bCs/>
          <w:color w:val="000000"/>
        </w:rPr>
        <w:t xml:space="preserve"> Impact an</w:t>
      </w:r>
      <w:r>
        <w:rPr>
          <w:b/>
          <w:bCs/>
          <w:color w:val="000000"/>
        </w:rPr>
        <w:t xml:space="preserve">d </w:t>
      </w:r>
      <w:r w:rsidR="00B61598">
        <w:rPr>
          <w:b/>
          <w:bCs/>
          <w:color w:val="000000"/>
        </w:rPr>
        <w:t>Attitude</w:t>
      </w:r>
      <w:r>
        <w:rPr>
          <w:b/>
          <w:bCs/>
          <w:color w:val="000000"/>
        </w:rPr>
        <w:t xml:space="preserve"> Variations</w:t>
      </w:r>
    </w:p>
    <w:p w14:paraId="232907D3" w14:textId="0FC6330B" w:rsidR="003C5993" w:rsidRDefault="001F4DD0" w:rsidP="001F4DD0">
      <w:pPr>
        <w:spacing w:line="480" w:lineRule="auto"/>
        <w:ind w:firstLine="720"/>
      </w:pPr>
      <w:r>
        <w:t>T</w:t>
      </w:r>
      <w:r w:rsidR="00B61598">
        <w:t xml:space="preserve">hose with low socio-economic status, minority groups, and other </w:t>
      </w:r>
      <w:r w:rsidR="0092726E">
        <w:t xml:space="preserve">underserved </w:t>
      </w:r>
      <w:r w:rsidR="00B61598">
        <w:t xml:space="preserve">populations face unique challenges in situations where access to science could prove essential. </w:t>
      </w:r>
      <w:r w:rsidR="00B61598">
        <w:lastRenderedPageBreak/>
        <w:t>Consider climate change. While a</w:t>
      </w:r>
      <w:r w:rsidR="00B61598" w:rsidRPr="0073280F">
        <w:t xml:space="preserve">lmost everyone will be exposed to </w:t>
      </w:r>
      <w:r w:rsidR="00B61598">
        <w:t xml:space="preserve">climate change </w:t>
      </w:r>
      <w:r w:rsidR="00B61598" w:rsidRPr="0073280F">
        <w:t>impacts</w:t>
      </w:r>
      <w:r w:rsidR="00B61598">
        <w:t>, certain</w:t>
      </w:r>
      <w:r w:rsidR="00B61598" w:rsidRPr="0073280F">
        <w:t xml:space="preserve"> </w:t>
      </w:r>
      <w:r w:rsidR="00B61598" w:rsidRPr="00B21659">
        <w:t>subpopulations</w:t>
      </w:r>
      <w:r w:rsidR="00B61598">
        <w:t xml:space="preserve"> </w:t>
      </w:r>
      <w:r w:rsidR="00B61598" w:rsidRPr="0073280F">
        <w:t xml:space="preserve">who are most sensitive to disturbances and least able to adapt </w:t>
      </w:r>
      <w:r w:rsidR="00B61598">
        <w:t xml:space="preserve">to them </w:t>
      </w:r>
      <w:r w:rsidR="00B61598" w:rsidRPr="0073280F">
        <w:t>will suffer most</w:t>
      </w:r>
      <w:r>
        <w:t xml:space="preserve"> (e.g., USGCRP 2018</w:t>
      </w:r>
      <w:r w:rsidR="00E567CC">
        <w:t>,</w:t>
      </w:r>
      <w:r>
        <w:t xml:space="preserve"> 548)</w:t>
      </w:r>
      <w:r w:rsidR="00B61598" w:rsidRPr="0073280F">
        <w:t>.</w:t>
      </w:r>
      <w:r w:rsidR="00B61598">
        <w:t xml:space="preserve"> These groups face more severe economic, infrastructural, health, and even crime consequences (Watts et al. 2018</w:t>
      </w:r>
      <w:r w:rsidR="00E567CC">
        <w:t>;</w:t>
      </w:r>
      <w:r w:rsidR="00B61598">
        <w:t xml:space="preserve"> White 2017).</w:t>
      </w:r>
      <w:r w:rsidR="0055799E">
        <w:t xml:space="preserve"> </w:t>
      </w:r>
      <w:r w:rsidR="00B61598">
        <w:t>These same populations face distinct health threats. Here, racial</w:t>
      </w:r>
      <w:r w:rsidR="00305479">
        <w:t xml:space="preserve">, </w:t>
      </w:r>
      <w:r w:rsidR="00B61598">
        <w:t>ethnic</w:t>
      </w:r>
      <w:r w:rsidR="00305479">
        <w:t>,</w:t>
      </w:r>
      <w:r w:rsidR="00B61598">
        <w:t xml:space="preserve"> and socio</w:t>
      </w:r>
      <w:r w:rsidR="0092726E">
        <w:t>-</w:t>
      </w:r>
      <w:r w:rsidR="00B61598">
        <w:t>economic disparities have grown over the past forty years (Krieger et al. 2008)</w:t>
      </w:r>
      <w:r w:rsidR="00974980">
        <w:t xml:space="preserve">, and </w:t>
      </w:r>
      <w:r w:rsidR="00B61598">
        <w:t xml:space="preserve">these inequities will </w:t>
      </w:r>
      <w:r w:rsidR="00974980">
        <w:t xml:space="preserve">likely </w:t>
      </w:r>
      <w:r w:rsidR="00B61598">
        <w:t>continue</w:t>
      </w:r>
      <w:r w:rsidR="003C5993">
        <w:t xml:space="preserve"> to</w:t>
      </w:r>
      <w:r w:rsidR="00B61598">
        <w:t xml:space="preserve"> increase due to emerging technologies, automation, and environmental hazards</w:t>
      </w:r>
      <w:r w:rsidR="00974980">
        <w:t xml:space="preserve"> (</w:t>
      </w:r>
      <w:proofErr w:type="spellStart"/>
      <w:r w:rsidR="00974980">
        <w:t>Arcaya</w:t>
      </w:r>
      <w:proofErr w:type="spellEnd"/>
      <w:r w:rsidR="00974980">
        <w:t xml:space="preserve"> and Figueroa 2017)</w:t>
      </w:r>
      <w:r w:rsidR="00B61598">
        <w:t xml:space="preserve">. </w:t>
      </w:r>
      <w:r w:rsidR="00974980">
        <w:t>The devastating result of these health disparities is exemplified by the COVID-19 pandemic, with Black and Latino mortality</w:t>
      </w:r>
      <w:r w:rsidR="00B21659">
        <w:t xml:space="preserve"> </w:t>
      </w:r>
      <w:r w:rsidR="00E22F85">
        <w:t>three</w:t>
      </w:r>
      <w:r w:rsidR="00974980">
        <w:t xml:space="preserve"> to </w:t>
      </w:r>
      <w:r w:rsidR="00E22F85">
        <w:t>four</w:t>
      </w:r>
      <w:r w:rsidR="00974980">
        <w:t xml:space="preserve"> times </w:t>
      </w:r>
      <w:r w:rsidR="00B21659" w:rsidRPr="0092726E">
        <w:t>higher</w:t>
      </w:r>
      <w:r w:rsidR="00974980">
        <w:t xml:space="preserve"> than that for White Americans (</w:t>
      </w:r>
      <w:proofErr w:type="spellStart"/>
      <w:r w:rsidR="00974980" w:rsidRPr="00947F31">
        <w:t>Andrasfay</w:t>
      </w:r>
      <w:proofErr w:type="spellEnd"/>
      <w:r w:rsidR="00974980" w:rsidRPr="00947F31">
        <w:t xml:space="preserve"> and Goldman 2021</w:t>
      </w:r>
      <w:r w:rsidR="00974980">
        <w:t xml:space="preserve">). </w:t>
      </w:r>
      <w:r w:rsidR="00B61598">
        <w:t xml:space="preserve">To get a sense of the scale, consider </w:t>
      </w:r>
      <w:r w:rsidR="001B49BE">
        <w:t>that</w:t>
      </w:r>
      <w:r w:rsidR="004D1B66">
        <w:t>,</w:t>
      </w:r>
      <w:r w:rsidR="001B49BE">
        <w:t xml:space="preserve"> by one estimate</w:t>
      </w:r>
      <w:r w:rsidR="004D1B66">
        <w:t>,</w:t>
      </w:r>
      <w:r w:rsidR="001B49BE">
        <w:t xml:space="preserve"> COVID-19 would </w:t>
      </w:r>
      <w:r w:rsidR="00974980">
        <w:t>need to cause</w:t>
      </w:r>
      <w:r w:rsidR="001B49BE">
        <w:t xml:space="preserve"> 400,000 excess White deaths to equal the </w:t>
      </w:r>
      <w:r w:rsidR="004E6A5B">
        <w:t xml:space="preserve">lowest </w:t>
      </w:r>
      <w:r w:rsidR="001B49BE">
        <w:t xml:space="preserve">mortality </w:t>
      </w:r>
      <w:r w:rsidR="004E6A5B">
        <w:t xml:space="preserve">rate </w:t>
      </w:r>
      <w:r w:rsidR="001B49BE">
        <w:t>recorded for Blacks</w:t>
      </w:r>
      <w:r w:rsidR="001B49BE" w:rsidRPr="001B49BE">
        <w:t xml:space="preserve"> (Wrigley-Field 2020</w:t>
      </w:r>
      <w:r w:rsidR="004B03E6">
        <w:t xml:space="preserve">). </w:t>
      </w:r>
      <w:r w:rsidR="00645DB0">
        <w:t>Inequities</w:t>
      </w:r>
      <w:r>
        <w:t xml:space="preserve"> also emerged</w:t>
      </w:r>
      <w:r w:rsidR="00645DB0">
        <w:t xml:space="preserve"> during COVID-19 regarding</w:t>
      </w:r>
      <w:r>
        <w:t xml:space="preserve"> </w:t>
      </w:r>
      <w:r w:rsidR="00B61598" w:rsidRPr="00431A40">
        <w:t>economic hardships</w:t>
      </w:r>
      <w:r>
        <w:t>: in one state,</w:t>
      </w:r>
      <w:r w:rsidR="00B61598">
        <w:t xml:space="preserve"> Black adults were over </w:t>
      </w:r>
      <w:r w:rsidR="00E22F85">
        <w:t>three</w:t>
      </w:r>
      <w:r w:rsidR="00B61598">
        <w:t xml:space="preserve"> times more likely than Whites to experience food insecurity or unemployment</w:t>
      </w:r>
      <w:r w:rsidR="00E22F85">
        <w:t>,</w:t>
      </w:r>
      <w:r>
        <w:t xml:space="preserve"> while t</w:t>
      </w:r>
      <w:r w:rsidR="00B61598">
        <w:t xml:space="preserve">hose without a college degree were twice as likely to experience food insecurity relative to those with some </w:t>
      </w:r>
      <w:r w:rsidR="00171678">
        <w:t>college</w:t>
      </w:r>
      <w:r>
        <w:t xml:space="preserve"> (Perry 2021)</w:t>
      </w:r>
      <w:r w:rsidR="00B61598">
        <w:t>.</w:t>
      </w:r>
      <w:r w:rsidR="003C5993">
        <w:t xml:space="preserve"> </w:t>
      </w:r>
      <w:r w:rsidR="00B61598">
        <w:t xml:space="preserve">In each of these circumstances – climate change, health, and COVID-19 – unequal access to science-based technology </w:t>
      </w:r>
      <w:r w:rsidR="001170D5">
        <w:t>such as</w:t>
      </w:r>
      <w:r w:rsidR="00B61598">
        <w:t xml:space="preserve"> </w:t>
      </w:r>
      <w:r w:rsidR="00171678">
        <w:t>resilient</w:t>
      </w:r>
      <w:r w:rsidR="00023DAE">
        <w:t xml:space="preserve"> crops</w:t>
      </w:r>
      <w:r w:rsidR="00E22F85">
        <w:t>,</w:t>
      </w:r>
      <w:r w:rsidR="00023DAE">
        <w:t xml:space="preserve"> flood safeguards</w:t>
      </w:r>
      <w:r w:rsidR="00B61598">
        <w:t xml:space="preserve">, medical screenings, </w:t>
      </w:r>
      <w:r w:rsidR="00645DB0">
        <w:t xml:space="preserve">and </w:t>
      </w:r>
      <w:r w:rsidR="00B61598">
        <w:t>vaccines contribute</w:t>
      </w:r>
      <w:r w:rsidR="00023DAE">
        <w:t>s</w:t>
      </w:r>
      <w:r w:rsidR="00B61598">
        <w:t xml:space="preserve"> to disparities. </w:t>
      </w:r>
    </w:p>
    <w:p w14:paraId="213BE2AE" w14:textId="4B4E6972" w:rsidR="00205986" w:rsidRDefault="003C5993" w:rsidP="00B61598">
      <w:pPr>
        <w:spacing w:line="480" w:lineRule="auto"/>
        <w:ind w:firstLine="720"/>
      </w:pPr>
      <w:r>
        <w:t>A</w:t>
      </w:r>
      <w:r w:rsidR="00B61598">
        <w:t xml:space="preserve"> </w:t>
      </w:r>
      <w:r w:rsidR="001F4DD0">
        <w:t>distinct</w:t>
      </w:r>
      <w:r w:rsidR="00B61598">
        <w:t xml:space="preserve"> type of disparity concerns variation in science literacy, interest, and attitudes. For example, </w:t>
      </w:r>
      <w:r w:rsidR="00495A7D">
        <w:t xml:space="preserve">while </w:t>
      </w:r>
      <w:r w:rsidR="00B61598">
        <w:t xml:space="preserve">there is no </w:t>
      </w:r>
      <w:r w:rsidR="00E77ACF">
        <w:t xml:space="preserve">gender </w:t>
      </w:r>
      <w:r w:rsidR="00B61598">
        <w:t xml:space="preserve">gap in science ability or achievement early in life, women have </w:t>
      </w:r>
      <w:proofErr w:type="gramStart"/>
      <w:r w:rsidR="00B61598">
        <w:t>less</w:t>
      </w:r>
      <w:proofErr w:type="gramEnd"/>
      <w:r w:rsidR="00B61598">
        <w:t xml:space="preserve"> positive attitudes toward science and weaker science self-concepts</w:t>
      </w:r>
      <w:r w:rsidR="004B03E6">
        <w:t xml:space="preserve"> later on</w:t>
      </w:r>
      <w:r w:rsidR="00B61598">
        <w:t xml:space="preserve"> (e.g., Jones</w:t>
      </w:r>
      <w:r w:rsidR="00E567CC">
        <w:t xml:space="preserve">, Howe, &amp; </w:t>
      </w:r>
      <w:proofErr w:type="spellStart"/>
      <w:r w:rsidR="00E567CC">
        <w:t>Rua</w:t>
      </w:r>
      <w:proofErr w:type="spellEnd"/>
      <w:r w:rsidR="00B61598">
        <w:t xml:space="preserve"> 2000</w:t>
      </w:r>
      <w:r w:rsidR="00E567CC">
        <w:t xml:space="preserve">; </w:t>
      </w:r>
      <w:proofErr w:type="spellStart"/>
      <w:r w:rsidR="00E567CC">
        <w:t>Weinburgh</w:t>
      </w:r>
      <w:proofErr w:type="spellEnd"/>
      <w:r w:rsidR="00E567CC">
        <w:t xml:space="preserve"> 1995</w:t>
      </w:r>
      <w:r w:rsidR="00B61598">
        <w:t>). Additionally,</w:t>
      </w:r>
      <w:r w:rsidR="001F4DD0">
        <w:t xml:space="preserve"> </w:t>
      </w:r>
      <w:proofErr w:type="gramStart"/>
      <w:r w:rsidR="00B61598">
        <w:t>racial</w:t>
      </w:r>
      <w:proofErr w:type="gramEnd"/>
      <w:r w:rsidR="00B61598">
        <w:t xml:space="preserve"> and ethnic minorities often have significantly less confidence in science and are less scientifically literate</w:t>
      </w:r>
      <w:r w:rsidR="001F4DD0">
        <w:t xml:space="preserve"> </w:t>
      </w:r>
      <w:r w:rsidR="00B61598">
        <w:t>(Allum et al. 2018</w:t>
      </w:r>
      <w:r w:rsidR="00E567CC">
        <w:t xml:space="preserve">; </w:t>
      </w:r>
      <w:r w:rsidR="00E567CC">
        <w:lastRenderedPageBreak/>
        <w:t>Plutzer 2013</w:t>
      </w:r>
      <w:r w:rsidR="008F07B3">
        <w:t>; although see below discussion</w:t>
      </w:r>
      <w:r w:rsidR="00B61598">
        <w:t xml:space="preserve">). Religion is another factor that introduces heterogeneity into science opinions, with those who hold </w:t>
      </w:r>
      <w:proofErr w:type="gramStart"/>
      <w:r w:rsidR="00B61598">
        <w:t>particular belief</w:t>
      </w:r>
      <w:proofErr w:type="gramEnd"/>
      <w:r w:rsidR="00B61598">
        <w:t xml:space="preserve"> systems less supportive of certain types of scientific research (e.g., stem cell, nanotechnology) (Brossard et al. 2009</w:t>
      </w:r>
      <w:r w:rsidR="00E567CC">
        <w:t>;</w:t>
      </w:r>
      <w:r w:rsidR="00E567CC" w:rsidRPr="00E567CC">
        <w:t xml:space="preserve"> </w:t>
      </w:r>
      <w:r w:rsidR="00E567CC">
        <w:t>Nisbet 2005</w:t>
      </w:r>
      <w:r w:rsidR="00B61598">
        <w:t xml:space="preserve">) and less trusting </w:t>
      </w:r>
      <w:r w:rsidR="00391BDA">
        <w:t>of</w:t>
      </w:r>
      <w:r w:rsidR="00B61598">
        <w:t xml:space="preserve"> scientists (Brewer and Ley 2013)</w:t>
      </w:r>
      <w:r w:rsidR="00391BDA">
        <w:t>.</w:t>
      </w:r>
      <w:r w:rsidR="00B61598">
        <w:t xml:space="preserve"> </w:t>
      </w:r>
      <w:r w:rsidR="00506D87">
        <w:t>S</w:t>
      </w:r>
      <w:r w:rsidR="00205986">
        <w:t>ocio-economic status</w:t>
      </w:r>
      <w:r w:rsidR="00506D87">
        <w:t xml:space="preserve"> also matters</w:t>
      </w:r>
      <w:r w:rsidR="00E22F85">
        <w:t>,</w:t>
      </w:r>
      <w:r w:rsidR="001F4DD0">
        <w:t xml:space="preserve"> with those at higher levels drawing more on ideological frames of reference (</w:t>
      </w:r>
      <w:r w:rsidR="00205986">
        <w:t>Ballew et al. 2020)</w:t>
      </w:r>
      <w:r w:rsidR="001F4DD0">
        <w:t>.</w:t>
      </w:r>
    </w:p>
    <w:p w14:paraId="738A0729" w14:textId="4963CB06" w:rsidR="00205986" w:rsidRDefault="00DA7764" w:rsidP="00DC377F">
      <w:pPr>
        <w:spacing w:line="480" w:lineRule="auto"/>
        <w:ind w:firstLine="720"/>
      </w:pPr>
      <w:r w:rsidRPr="00EC467D">
        <w:rPr>
          <w:i/>
          <w:iCs/>
        </w:rPr>
        <w:t>These e</w:t>
      </w:r>
      <w:r w:rsidR="0061094C" w:rsidRPr="00EC467D">
        <w:rPr>
          <w:i/>
          <w:iCs/>
        </w:rPr>
        <w:t>xperiential</w:t>
      </w:r>
      <w:r w:rsidRPr="00EC467D">
        <w:rPr>
          <w:i/>
          <w:iCs/>
        </w:rPr>
        <w:t xml:space="preserve"> and belief</w:t>
      </w:r>
      <w:r w:rsidR="0061094C" w:rsidRPr="00EC467D">
        <w:rPr>
          <w:i/>
          <w:iCs/>
        </w:rPr>
        <w:t xml:space="preserve"> inequities </w:t>
      </w:r>
      <w:r w:rsidR="00E77ACF" w:rsidRPr="00EC467D">
        <w:rPr>
          <w:i/>
          <w:iCs/>
        </w:rPr>
        <w:t>about</w:t>
      </w:r>
      <w:r w:rsidR="0061094C" w:rsidRPr="00EC467D">
        <w:rPr>
          <w:i/>
          <w:iCs/>
        </w:rPr>
        <w:t xml:space="preserve"> science </w:t>
      </w:r>
      <w:r w:rsidR="003C5993" w:rsidRPr="00EC467D">
        <w:rPr>
          <w:i/>
          <w:iCs/>
        </w:rPr>
        <w:t>reveal that different populations need to be studied on their own terms</w:t>
      </w:r>
      <w:r w:rsidR="003C5993">
        <w:t>. This is essential for the development of science-based interventions</w:t>
      </w:r>
      <w:r w:rsidR="00454BEA">
        <w:t xml:space="preserve"> and for advancing science</w:t>
      </w:r>
      <w:r w:rsidR="008F07B3">
        <w:t>:</w:t>
      </w:r>
      <w:r w:rsidR="00454BEA">
        <w:t xml:space="preserve"> interactions with </w:t>
      </w:r>
      <w:r w:rsidR="008F07B3">
        <w:t xml:space="preserve">varied </w:t>
      </w:r>
      <w:r w:rsidR="00454BEA">
        <w:t>population</w:t>
      </w:r>
      <w:r w:rsidR="008F07B3">
        <w:t>s</w:t>
      </w:r>
      <w:r w:rsidR="00454BEA">
        <w:t xml:space="preserve"> can generate new questions and insight</w:t>
      </w:r>
      <w:r w:rsidR="003E6E0A">
        <w:t>s</w:t>
      </w:r>
      <w:r w:rsidR="003C5993">
        <w:t>.</w:t>
      </w:r>
      <w:r w:rsidR="003E6E0A">
        <w:t xml:space="preserve"> Put another way, the failure to study diverse groups</w:t>
      </w:r>
      <w:r w:rsidR="008665DB">
        <w:t xml:space="preserve"> not only</w:t>
      </w:r>
      <w:r w:rsidR="003E6E0A">
        <w:t xml:space="preserve"> introduces a moral threat concerning access to/use of science and representation in science, </w:t>
      </w:r>
      <w:r w:rsidR="008665DB">
        <w:t xml:space="preserve">but also </w:t>
      </w:r>
      <w:r w:rsidR="008F07B3">
        <w:t xml:space="preserve">an </w:t>
      </w:r>
      <w:r w:rsidR="003E6E0A">
        <w:t>epistemological threat</w:t>
      </w:r>
      <w:r w:rsidR="003C5993">
        <w:t xml:space="preserve"> </w:t>
      </w:r>
      <w:r w:rsidR="003E6E0A">
        <w:t xml:space="preserve">by undermining the incorporation of </w:t>
      </w:r>
      <w:r w:rsidR="008665DB">
        <w:t xml:space="preserve">varied </w:t>
      </w:r>
      <w:r w:rsidR="003E6E0A">
        <w:t>perspectives and concerns. Nevertheless,</w:t>
      </w:r>
      <w:r w:rsidR="003C5993">
        <w:t xml:space="preserve"> there continues to be insufficient data</w:t>
      </w:r>
      <w:r w:rsidR="00454BEA">
        <w:t xml:space="preserve"> on</w:t>
      </w:r>
      <w:r w:rsidR="008665DB">
        <w:t>,</w:t>
      </w:r>
      <w:r w:rsidR="003C5993">
        <w:t xml:space="preserve"> </w:t>
      </w:r>
      <w:r w:rsidR="00454BEA">
        <w:t>and engagement with</w:t>
      </w:r>
      <w:r w:rsidR="008665DB">
        <w:t>,</w:t>
      </w:r>
      <w:r w:rsidR="003C5993">
        <w:t xml:space="preserve"> many groups.</w:t>
      </w:r>
      <w:r w:rsidR="00997042">
        <w:t xml:space="preserve"> We focus on the collection of survey data</w:t>
      </w:r>
      <w:r w:rsidR="00506D87">
        <w:t>,</w:t>
      </w:r>
      <w:r w:rsidR="00997042">
        <w:t xml:space="preserve"> since such an approach allows for the standardized collection of information about different groups across various topics. </w:t>
      </w:r>
    </w:p>
    <w:p w14:paraId="6EDAC511" w14:textId="77777777" w:rsidR="00DC377F" w:rsidRDefault="00997042" w:rsidP="00DC377F">
      <w:pPr>
        <w:spacing w:line="480" w:lineRule="auto"/>
        <w:rPr>
          <w:b/>
        </w:rPr>
      </w:pPr>
      <w:r>
        <w:rPr>
          <w:b/>
        </w:rPr>
        <w:t>Sampling Considerations</w:t>
      </w:r>
    </w:p>
    <w:p w14:paraId="1DC2D886" w14:textId="0649996E" w:rsidR="00FC47BE" w:rsidRDefault="00997042" w:rsidP="00FC47BE">
      <w:pPr>
        <w:spacing w:line="480" w:lineRule="auto"/>
        <w:ind w:firstLine="720"/>
      </w:pPr>
      <w:r>
        <w:t>A first step</w:t>
      </w:r>
      <w:r w:rsidR="001B28F6">
        <w:t xml:space="preserve"> involves defining the target </w:t>
      </w:r>
      <w:r w:rsidR="004B03E6">
        <w:t>population</w:t>
      </w:r>
      <w:r w:rsidR="001B28F6">
        <w:t xml:space="preserve"> and then determining the </w:t>
      </w:r>
      <w:r w:rsidR="00DC377F">
        <w:t xml:space="preserve">feasibility of </w:t>
      </w:r>
      <w:r>
        <w:t xml:space="preserve">drawing </w:t>
      </w:r>
      <w:r w:rsidR="00071B09">
        <w:t xml:space="preserve">a </w:t>
      </w:r>
      <w:r>
        <w:t>probability sample</w:t>
      </w:r>
      <w:r w:rsidR="001B28F6">
        <w:t xml:space="preserve"> (i.e., every member of the group has an </w:t>
      </w:r>
      <w:r w:rsidR="002867C7">
        <w:t xml:space="preserve">independent and </w:t>
      </w:r>
      <w:r w:rsidR="001B28F6">
        <w:t>identical chance of being sampled)</w:t>
      </w:r>
      <w:r>
        <w:t>. Such samples can be extraordinarily costly</w:t>
      </w:r>
      <w:r w:rsidR="00155258">
        <w:t>,</w:t>
      </w:r>
      <w:r>
        <w:t xml:space="preserve"> and thus</w:t>
      </w:r>
      <w:r w:rsidR="00155258">
        <w:t>,</w:t>
      </w:r>
      <w:r>
        <w:t xml:space="preserve"> researchers increasingly instead rely on </w:t>
      </w:r>
      <w:r w:rsidR="00071B09">
        <w:t>cheaper</w:t>
      </w:r>
      <w:r w:rsidR="008665DB">
        <w:t>,</w:t>
      </w:r>
      <w:r w:rsidR="00071B09">
        <w:t xml:space="preserve"> but less accurate</w:t>
      </w:r>
      <w:r w:rsidR="008665DB">
        <w:t>,</w:t>
      </w:r>
      <w:r w:rsidR="00071B09">
        <w:t xml:space="preserve"> </w:t>
      </w:r>
      <w:r>
        <w:t>non-probability quota sampling</w:t>
      </w:r>
      <w:r w:rsidR="00DC377F">
        <w:t>. This involves drawing a</w:t>
      </w:r>
      <w:r>
        <w:t xml:space="preserve"> sample that matches key demographic benchmarks </w:t>
      </w:r>
      <w:r w:rsidR="00DC377F">
        <w:t>of the targeted population</w:t>
      </w:r>
      <w:r>
        <w:t>.</w:t>
      </w:r>
      <w:r w:rsidR="00214628">
        <w:rPr>
          <w:rStyle w:val="EndnoteReference"/>
        </w:rPr>
        <w:endnoteReference w:id="1"/>
      </w:r>
      <w:r w:rsidR="00214628">
        <w:t xml:space="preserve"> </w:t>
      </w:r>
    </w:p>
    <w:p w14:paraId="1BAC3934" w14:textId="72DB4E5D" w:rsidR="00563552" w:rsidRDefault="00071B09" w:rsidP="00563552">
      <w:pPr>
        <w:spacing w:line="480" w:lineRule="auto"/>
        <w:ind w:firstLine="720"/>
      </w:pPr>
      <w:r>
        <w:lastRenderedPageBreak/>
        <w:t>A</w:t>
      </w:r>
      <w:r w:rsidR="00DC377F">
        <w:t xml:space="preserve"> probability or quota sample</w:t>
      </w:r>
      <w:r w:rsidR="00C64C09">
        <w:t xml:space="preserve"> </w:t>
      </w:r>
      <w:r w:rsidR="00997042">
        <w:t>require</w:t>
      </w:r>
      <w:r w:rsidR="00DC377F">
        <w:t>s</w:t>
      </w:r>
      <w:r w:rsidR="00997042">
        <w:t xml:space="preserve"> that enough members of the group are available.</w:t>
      </w:r>
      <w:r w:rsidR="006465FE">
        <w:t xml:space="preserve"> </w:t>
      </w:r>
      <w:r w:rsidR="00997042">
        <w:t>For example, Pearson et al. (2021) compare</w:t>
      </w:r>
      <w:r>
        <w:t>d</w:t>
      </w:r>
      <w:r w:rsidR="00997042">
        <w:t xml:space="preserve"> the climate change beliefs of non-Latino Whites and Latinos by drawing a probability sample that included additional Latino respondents beyond the initial sample</w:t>
      </w:r>
      <w:r w:rsidR="00FC47BE">
        <w:t xml:space="preserve"> (i.e., an over-sample)</w:t>
      </w:r>
      <w:r w:rsidR="00997042">
        <w:t xml:space="preserve">. </w:t>
      </w:r>
      <w:r>
        <w:t>This</w:t>
      </w:r>
      <w:r w:rsidR="00C64C09">
        <w:t xml:space="preserve"> was possible because </w:t>
      </w:r>
      <w:r w:rsidR="00997042">
        <w:t xml:space="preserve">Latinos constitute a large share of the American population, </w:t>
      </w:r>
      <w:r w:rsidR="00726741">
        <w:t xml:space="preserve">and </w:t>
      </w:r>
      <w:r w:rsidR="00751092">
        <w:t xml:space="preserve">existing </w:t>
      </w:r>
      <w:r w:rsidR="00C64C09">
        <w:t xml:space="preserve">census data </w:t>
      </w:r>
      <w:r w:rsidR="00997042">
        <w:t>differentiat</w:t>
      </w:r>
      <w:r w:rsidR="00D44820">
        <w:t>ing</w:t>
      </w:r>
      <w:r w:rsidR="00997042">
        <w:t xml:space="preserve"> Latinos from non-Latinos allow</w:t>
      </w:r>
      <w:r w:rsidR="00751092">
        <w:t>ed</w:t>
      </w:r>
      <w:r w:rsidR="00997042">
        <w:t xml:space="preserve"> the researchers to identify the over-sample. </w:t>
      </w:r>
      <w:r w:rsidR="00FC47BE">
        <w:t>To be clear, these samples are not without limits, due to limited coverage, non-response, and other errors, as are widely discussed in the survey</w:t>
      </w:r>
      <w:r w:rsidR="00A915CF">
        <w:t xml:space="preserve"> methods</w:t>
      </w:r>
      <w:r w:rsidR="00FC47BE">
        <w:t xml:space="preserve"> literature (e.g., </w:t>
      </w:r>
      <w:r w:rsidR="00563552">
        <w:t>Marsden</w:t>
      </w:r>
      <w:r w:rsidR="0024621C">
        <w:t xml:space="preserve"> and Wright</w:t>
      </w:r>
      <w:r w:rsidR="00563552">
        <w:t xml:space="preserve"> 2010).</w:t>
      </w:r>
      <w:r w:rsidR="00FC47BE">
        <w:t xml:space="preserve"> </w:t>
      </w:r>
    </w:p>
    <w:p w14:paraId="3C1F9167" w14:textId="692C2EAC" w:rsidR="00563552" w:rsidRDefault="00563552" w:rsidP="00563552">
      <w:pPr>
        <w:spacing w:line="480" w:lineRule="auto"/>
        <w:ind w:firstLine="720"/>
      </w:pPr>
      <w:r>
        <w:t>Even so,</w:t>
      </w:r>
      <w:r w:rsidR="006465FE">
        <w:t xml:space="preserve"> </w:t>
      </w:r>
      <w:r>
        <w:t xml:space="preserve">members of </w:t>
      </w:r>
      <w:r w:rsidR="00071B09">
        <w:t>many</w:t>
      </w:r>
      <w:r>
        <w:t xml:space="preserve"> </w:t>
      </w:r>
      <w:r w:rsidR="00997042">
        <w:t>group</w:t>
      </w:r>
      <w:r>
        <w:t>s may be</w:t>
      </w:r>
      <w:r w:rsidR="00997042">
        <w:t xml:space="preserve"> less inclined and/or able to participate in traditional surveys conducted via phone, the web, or in-person. This might</w:t>
      </w:r>
      <w:r w:rsidR="00071B09">
        <w:t xml:space="preserve"> stem from them making up </w:t>
      </w:r>
      <w:r w:rsidR="00997042">
        <w:t>a relatively small proportion of the broader population and/or</w:t>
      </w:r>
      <w:r w:rsidR="00071B09">
        <w:t xml:space="preserve"> being</w:t>
      </w:r>
      <w:r w:rsidR="00997042">
        <w:t xml:space="preserve"> difficult</w:t>
      </w:r>
      <w:r w:rsidR="007C2BAE">
        <w:t xml:space="preserve"> </w:t>
      </w:r>
      <w:r w:rsidR="00997042">
        <w:t>to</w:t>
      </w:r>
      <w:r w:rsidR="007C2BAE">
        <w:t xml:space="preserve"> </w:t>
      </w:r>
      <w:r w:rsidR="00997042">
        <w:t>reach</w:t>
      </w:r>
      <w:r w:rsidR="00071B09">
        <w:t xml:space="preserve">. Examples of “hard-to-survey” groups include </w:t>
      </w:r>
      <w:r>
        <w:t>low</w:t>
      </w:r>
      <w:r w:rsidR="007C2BAE">
        <w:t>-</w:t>
      </w:r>
      <w:r>
        <w:t>income</w:t>
      </w:r>
      <w:r w:rsidR="007C2BAE">
        <w:t xml:space="preserve"> people</w:t>
      </w:r>
      <w:r>
        <w:t xml:space="preserve">, young people, Indigenous people, </w:t>
      </w:r>
      <w:r w:rsidR="00E77ACF">
        <w:t xml:space="preserve">and </w:t>
      </w:r>
      <w:r>
        <w:t>people in poor health</w:t>
      </w:r>
      <w:r w:rsidR="00997042">
        <w:t xml:space="preserve"> (Tourangeau 2014).</w:t>
      </w:r>
      <w:r w:rsidR="00071B09">
        <w:t xml:space="preserve"> Yet, </w:t>
      </w:r>
      <w:proofErr w:type="gramStart"/>
      <w:r w:rsidR="00071B09">
        <w:t>f</w:t>
      </w:r>
      <w:r w:rsidR="00997042">
        <w:t>inancial</w:t>
      </w:r>
      <w:proofErr w:type="gramEnd"/>
      <w:r w:rsidR="00997042">
        <w:t xml:space="preserve"> or logistical hurdles should not disenfranchise these populations. Instead, researchers can turn to alternative data collection approaches. While </w:t>
      </w:r>
      <w:r w:rsidR="002E5625">
        <w:t xml:space="preserve">some of </w:t>
      </w:r>
      <w:r w:rsidR="00071B09">
        <w:t>t</w:t>
      </w:r>
      <w:r w:rsidR="00997042">
        <w:t>hese approaches</w:t>
      </w:r>
      <w:r w:rsidR="00751092">
        <w:t xml:space="preserve"> </w:t>
      </w:r>
      <w:r w:rsidR="00997042">
        <w:t>undermine the requirements of statistical inference to the entire relevant population, they nonetheless can provide crucial insight.</w:t>
      </w:r>
    </w:p>
    <w:p w14:paraId="2F956951" w14:textId="4BC8EFC2" w:rsidR="00C1337A" w:rsidRDefault="00071B09" w:rsidP="006C1E65">
      <w:pPr>
        <w:spacing w:line="480" w:lineRule="auto"/>
        <w:ind w:firstLine="720"/>
      </w:pPr>
      <w:r>
        <w:t>A f</w:t>
      </w:r>
      <w:r w:rsidR="00563552">
        <w:t>irst</w:t>
      </w:r>
      <w:r>
        <w:t xml:space="preserve"> approach</w:t>
      </w:r>
      <w:r w:rsidR="00997042">
        <w:t xml:space="preserve"> is list-sampling</w:t>
      </w:r>
      <w:r w:rsidR="00CC00E0">
        <w:t>,</w:t>
      </w:r>
      <w:r w:rsidR="00997042">
        <w:t xml:space="preserve"> where one </w:t>
      </w:r>
      <w:r w:rsidR="0044527F">
        <w:t>obtains</w:t>
      </w:r>
      <w:r w:rsidR="00997042">
        <w:t xml:space="preserve"> or construct</w:t>
      </w:r>
      <w:r w:rsidR="0044527F">
        <w:t>s</w:t>
      </w:r>
      <w:r w:rsidR="00997042">
        <w:t xml:space="preserve"> a list o</w:t>
      </w:r>
      <w:r w:rsidR="00563552">
        <w:t>f group</w:t>
      </w:r>
      <w:r w:rsidR="00997042">
        <w:t xml:space="preserve"> members from which to sample. For example, Wong et al. (20</w:t>
      </w:r>
      <w:r w:rsidR="003A4EDA">
        <w:t>1</w:t>
      </w:r>
      <w:r w:rsidR="00997042">
        <w:t>1) constructed a national list of Asian surnames to draw a sample of Asian</w:t>
      </w:r>
      <w:r w:rsidR="00B55133">
        <w:t xml:space="preserve"> </w:t>
      </w:r>
      <w:r w:rsidR="00997042">
        <w:t xml:space="preserve">Americans. </w:t>
      </w:r>
      <w:r w:rsidR="0044527F">
        <w:t>S</w:t>
      </w:r>
      <w:r w:rsidR="00E67A6E">
        <w:t>urname l</w:t>
      </w:r>
      <w:r w:rsidR="00340CB4">
        <w:t xml:space="preserve">ist approaches are common with </w:t>
      </w:r>
      <w:r w:rsidR="00E67A6E">
        <w:t>even smaller racial minority groups</w:t>
      </w:r>
      <w:r w:rsidR="008665DB">
        <w:t>,</w:t>
      </w:r>
      <w:r w:rsidR="00E67A6E">
        <w:t xml:space="preserve"> such as Middle Eastern and Muslim Americans</w:t>
      </w:r>
      <w:r w:rsidR="00CC00E0">
        <w:t>,</w:t>
      </w:r>
      <w:r w:rsidR="00E67A6E">
        <w:t xml:space="preserve"> for whom </w:t>
      </w:r>
      <w:r w:rsidR="00EE61A3">
        <w:t xml:space="preserve">official </w:t>
      </w:r>
      <w:r w:rsidR="00E67A6E">
        <w:t>population estimates are</w:t>
      </w:r>
      <w:r w:rsidR="009C7EB8">
        <w:t xml:space="preserve"> often</w:t>
      </w:r>
      <w:r w:rsidR="00E67A6E">
        <w:t xml:space="preserve"> lacking (</w:t>
      </w:r>
      <w:r w:rsidR="00433959">
        <w:t>e.g.</w:t>
      </w:r>
      <w:r w:rsidR="00AD5ECC">
        <w:t>,</w:t>
      </w:r>
      <w:r w:rsidR="00DA009E">
        <w:t xml:space="preserve"> </w:t>
      </w:r>
      <w:r w:rsidR="00F45F77">
        <w:t>Pew Research Center 2017</w:t>
      </w:r>
      <w:r w:rsidR="00E67A6E">
        <w:t>). List-based approaches can leverage the plethora of data collected by market research</w:t>
      </w:r>
      <w:r w:rsidR="00C1337A">
        <w:t xml:space="preserve">, </w:t>
      </w:r>
      <w:r w:rsidR="00E67A6E">
        <w:t>advertising firms</w:t>
      </w:r>
      <w:r w:rsidR="00C1337A">
        <w:t>, or professional organizations</w:t>
      </w:r>
      <w:r w:rsidR="00E67A6E">
        <w:t xml:space="preserve"> </w:t>
      </w:r>
      <w:r w:rsidR="00645DB0">
        <w:t>that</w:t>
      </w:r>
      <w:r w:rsidR="00AD5ECC">
        <w:t xml:space="preserve"> maintain </w:t>
      </w:r>
      <w:r w:rsidR="00E67A6E">
        <w:t>lists of individuals belonging to</w:t>
      </w:r>
      <w:r w:rsidR="00AD5ECC">
        <w:t xml:space="preserve"> various </w:t>
      </w:r>
      <w:r w:rsidR="00E67A6E">
        <w:t>group</w:t>
      </w:r>
      <w:r w:rsidR="00CC00E0">
        <w:t>s</w:t>
      </w:r>
      <w:r w:rsidR="00DA009E">
        <w:t xml:space="preserve"> </w:t>
      </w:r>
      <w:r w:rsidR="00EE61A3">
        <w:t>(</w:t>
      </w:r>
      <w:r w:rsidR="0005623F">
        <w:t>e.g.</w:t>
      </w:r>
      <w:r w:rsidR="00AD5ECC">
        <w:t>,</w:t>
      </w:r>
      <w:r w:rsidR="0005623F">
        <w:t xml:space="preserve"> </w:t>
      </w:r>
      <w:r w:rsidR="00B33288">
        <w:lastRenderedPageBreak/>
        <w:t>McCann and Jones-Correa 2016</w:t>
      </w:r>
      <w:r w:rsidR="00EE61A3">
        <w:t>).</w:t>
      </w:r>
      <w:r w:rsidR="00AD5ECC">
        <w:t xml:space="preserve"> </w:t>
      </w:r>
      <w:r w:rsidR="00C1337A">
        <w:t xml:space="preserve">For example, </w:t>
      </w:r>
      <w:r w:rsidR="00C1337A" w:rsidRPr="00C1337A">
        <w:t xml:space="preserve">Hutchinson </w:t>
      </w:r>
      <w:r w:rsidR="00B46BCA">
        <w:t>and Sutherland</w:t>
      </w:r>
      <w:r w:rsidR="00C1337A" w:rsidRPr="00C1337A">
        <w:t xml:space="preserve"> </w:t>
      </w:r>
      <w:r w:rsidR="00C1337A">
        <w:t>(</w:t>
      </w:r>
      <w:r w:rsidR="00C1337A" w:rsidRPr="00C1337A">
        <w:t>201</w:t>
      </w:r>
      <w:r w:rsidR="00B46BCA">
        <w:t>9</w:t>
      </w:r>
      <w:r w:rsidR="00C1337A">
        <w:t>)</w:t>
      </w:r>
      <w:r w:rsidR="005A58D3">
        <w:t xml:space="preserve"> study college health providers, in part, by drawing a sample from a professional organization’s mailing list. This ensured coverage of smaller, private colleges. They find providers from such schools do not differ from others in terms of screening female students who have experienced violen</w:t>
      </w:r>
      <w:r w:rsidR="002E5625">
        <w:t>ce</w:t>
      </w:r>
      <w:r w:rsidR="005A58D3">
        <w:t>.</w:t>
      </w:r>
    </w:p>
    <w:p w14:paraId="0235B6FB" w14:textId="5BFD3763" w:rsidR="00DA009E" w:rsidRDefault="00AD5ECC" w:rsidP="006C1E65">
      <w:pPr>
        <w:spacing w:line="480" w:lineRule="auto"/>
        <w:ind w:firstLine="720"/>
      </w:pPr>
      <w:r>
        <w:t>A</w:t>
      </w:r>
      <w:r w:rsidR="00EE61A3">
        <w:t>nother list</w:t>
      </w:r>
      <w:r w:rsidR="00B465DB">
        <w:t>-based</w:t>
      </w:r>
      <w:r w:rsidR="00EE61A3">
        <w:t xml:space="preserve"> approach uses administrative records. For instance, the New Immigrant Survey (1996-2009) used U.S. Immigration and Nationalization Services (INS) records to field a probability</w:t>
      </w:r>
      <w:r w:rsidR="007C2BAE">
        <w:t>-</w:t>
      </w:r>
      <w:r w:rsidR="00EE61A3">
        <w:t xml:space="preserve">based, longitudinal study of legal immigrants and their children in the U.S. (Massey 2011). </w:t>
      </w:r>
      <w:r w:rsidR="00286AFE">
        <w:t xml:space="preserve">Others utilize voter registration records where, in some states, </w:t>
      </w:r>
      <w:r w:rsidR="00751092">
        <w:t xml:space="preserve">the </w:t>
      </w:r>
      <w:r w:rsidR="00286AFE">
        <w:t>rac</w:t>
      </w:r>
      <w:r w:rsidR="00DD509A">
        <w:t>e</w:t>
      </w:r>
      <w:r w:rsidR="00420EFC">
        <w:t>/</w:t>
      </w:r>
      <w:r w:rsidR="00DD509A">
        <w:t xml:space="preserve">ethnicity of registrants </w:t>
      </w:r>
      <w:r w:rsidR="00286AFE">
        <w:t>is collected</w:t>
      </w:r>
      <w:r w:rsidR="00F454CE">
        <w:t xml:space="preserve"> or is identified </w:t>
      </w:r>
      <w:r w:rsidR="00C328DC">
        <w:t xml:space="preserve">by researchers </w:t>
      </w:r>
      <w:r w:rsidR="00F454CE">
        <w:t xml:space="preserve">based on the </w:t>
      </w:r>
      <w:r w:rsidR="002E5625">
        <w:t xml:space="preserve">registrant’s </w:t>
      </w:r>
      <w:r w:rsidR="00F454CE">
        <w:t>name</w:t>
      </w:r>
      <w:r w:rsidR="00286AFE">
        <w:t xml:space="preserve">. </w:t>
      </w:r>
      <w:r w:rsidR="00751762">
        <w:t>Creative applications of list sampling can generate probability samples of the targeted group (see</w:t>
      </w:r>
      <w:r w:rsidR="00CC00E0">
        <w:t>,</w:t>
      </w:r>
      <w:r w:rsidR="00751762">
        <w:t xml:space="preserve"> e.g.</w:t>
      </w:r>
      <w:r w:rsidR="00CC00E0">
        <w:t>,</w:t>
      </w:r>
      <w:r w:rsidR="00751762">
        <w:t xml:space="preserve"> Wong et al. 2021</w:t>
      </w:r>
      <w:r w:rsidR="00DA009E">
        <w:t>; also see B</w:t>
      </w:r>
      <w:r w:rsidR="00DA009E" w:rsidRPr="00AD5ECC">
        <w:t>arreto and Segura 2014</w:t>
      </w:r>
      <w:r w:rsidR="00DA009E">
        <w:t>).</w:t>
      </w:r>
      <w:r w:rsidR="00B118C0">
        <w:rPr>
          <w:rStyle w:val="EndnoteReference"/>
        </w:rPr>
        <w:endnoteReference w:id="2"/>
      </w:r>
    </w:p>
    <w:p w14:paraId="1B6D7F35" w14:textId="3F61C28E" w:rsidR="005A58D3" w:rsidRDefault="00AD5ECC" w:rsidP="006C1E65">
      <w:pPr>
        <w:spacing w:line="480" w:lineRule="auto"/>
        <w:ind w:firstLine="720"/>
      </w:pPr>
      <w:r>
        <w:t>Second</w:t>
      </w:r>
      <w:r w:rsidR="00997042">
        <w:t>, one can employ density sampling</w:t>
      </w:r>
      <w:r w:rsidR="0038381E">
        <w:t>,</w:t>
      </w:r>
      <w:r w:rsidR="00997042">
        <w:t xml:space="preserve"> which is a type of stratified sampling where one </w:t>
      </w:r>
      <w:r w:rsidR="00420EFC">
        <w:t xml:space="preserve">selects </w:t>
      </w:r>
      <w:r w:rsidR="00997042">
        <w:t xml:space="preserve">geographic </w:t>
      </w:r>
      <w:r w:rsidR="00420EFC">
        <w:t xml:space="preserve">areas </w:t>
      </w:r>
      <w:r w:rsidR="00997042">
        <w:t>known to have a high proportion of the population</w:t>
      </w:r>
      <w:r w:rsidR="00DA009E">
        <w:t xml:space="preserve"> (based on the Census)</w:t>
      </w:r>
      <w:r w:rsidR="00997042">
        <w:t xml:space="preserve"> and then samples from within </w:t>
      </w:r>
      <w:r w:rsidR="00420EFC">
        <w:t>those strata</w:t>
      </w:r>
      <w:r w:rsidR="00997042">
        <w:t>.</w:t>
      </w:r>
      <w:r w:rsidR="00E67A6E">
        <w:t xml:space="preserve"> </w:t>
      </w:r>
      <w:r w:rsidR="005A58D3">
        <w:t>For instance, the National Study of American Life sought to include a sizeable Afro-Caribbean sample and thus over-sampled from geographic areas known to have high concentrations of that population (e.g., New York, New Jersey, District of Columbia, Florida)</w:t>
      </w:r>
      <w:r w:rsidR="007166FB">
        <w:t>. This enabled them to identify a relatively low incidence of care fo</w:t>
      </w:r>
      <w:r w:rsidR="00E51171">
        <w:t>r</w:t>
      </w:r>
      <w:r w:rsidR="007166FB">
        <w:t xml:space="preserve"> major depressive disorders among that group (</w:t>
      </w:r>
      <w:r w:rsidR="007166FB" w:rsidRPr="007166FB">
        <w:t>Williams et al. 2007</w:t>
      </w:r>
      <w:r w:rsidR="007166FB">
        <w:t>).</w:t>
      </w:r>
    </w:p>
    <w:p w14:paraId="25DB5EC5" w14:textId="1CA9D700" w:rsidR="006C1E65" w:rsidRDefault="007166FB" w:rsidP="006C1E65">
      <w:pPr>
        <w:spacing w:line="480" w:lineRule="auto"/>
        <w:ind w:firstLine="720"/>
      </w:pPr>
      <w:r>
        <w:t>It is worth mentioning</w:t>
      </w:r>
      <w:r w:rsidR="00812E1E">
        <w:t>,</w:t>
      </w:r>
      <w:r>
        <w:t xml:space="preserve"> too</w:t>
      </w:r>
      <w:r w:rsidR="00812E1E">
        <w:t>,</w:t>
      </w:r>
      <w:r>
        <w:t xml:space="preserve"> that l</w:t>
      </w:r>
      <w:r w:rsidR="00E67A6E">
        <w:t>ist and density sampling</w:t>
      </w:r>
      <w:r w:rsidR="00FB0372">
        <w:t xml:space="preserve"> techniques</w:t>
      </w:r>
      <w:r w:rsidR="00E67A6E">
        <w:t xml:space="preserve"> are </w:t>
      </w:r>
      <w:r w:rsidR="00930822">
        <w:t>frequently</w:t>
      </w:r>
      <w:r w:rsidR="00E67A6E">
        <w:t xml:space="preserve"> used in tandem</w:t>
      </w:r>
      <w:r w:rsidR="0038381E">
        <w:t>,</w:t>
      </w:r>
      <w:r w:rsidR="00E67A6E">
        <w:t xml:space="preserve"> particularly when constructing samples of racial and ethnic minority groups</w:t>
      </w:r>
      <w:r w:rsidR="009C7EB8">
        <w:t xml:space="preserve"> (Barreto et al</w:t>
      </w:r>
      <w:r w:rsidR="00420EFC">
        <w:t>.</w:t>
      </w:r>
      <w:r w:rsidR="009C7EB8">
        <w:t xml:space="preserve"> 201</w:t>
      </w:r>
      <w:r w:rsidR="004C190C">
        <w:t>8</w:t>
      </w:r>
      <w:r w:rsidR="009C7EB8">
        <w:t>)</w:t>
      </w:r>
      <w:r w:rsidR="00E67A6E">
        <w:t>. List sampling ensures at least some coverage of group members who do not reside in ethnic enclaves</w:t>
      </w:r>
      <w:r w:rsidR="0038381E">
        <w:t>,</w:t>
      </w:r>
      <w:r w:rsidR="00E67A6E">
        <w:t xml:space="preserve"> while density sampling provides coverage of group members who may not have ethnically distinctive names, participate in ethnic affinity groups, or have otherwise been </w:t>
      </w:r>
      <w:r w:rsidR="00E67A6E">
        <w:lastRenderedPageBreak/>
        <w:t xml:space="preserve">identified. </w:t>
      </w:r>
      <w:r w:rsidR="00682F28">
        <w:t xml:space="preserve">These </w:t>
      </w:r>
      <w:r w:rsidR="000C0224">
        <w:t xml:space="preserve">combined </w:t>
      </w:r>
      <w:r w:rsidR="00682F28">
        <w:t xml:space="preserve">techniques </w:t>
      </w:r>
      <w:r w:rsidR="00B74B5A">
        <w:t>mitigate</w:t>
      </w:r>
      <w:r w:rsidR="00682F28">
        <w:t xml:space="preserve"> systematic bias associated with a single approach and ensure better coverage of the population of interest (see Berry</w:t>
      </w:r>
      <w:r w:rsidR="00BB65D3">
        <w:t xml:space="preserve">, </w:t>
      </w:r>
      <w:proofErr w:type="spellStart"/>
      <w:r w:rsidR="00BB65D3">
        <w:t>Chouhoud</w:t>
      </w:r>
      <w:proofErr w:type="spellEnd"/>
      <w:r w:rsidR="00BB65D3">
        <w:t xml:space="preserve">, and </w:t>
      </w:r>
      <w:proofErr w:type="spellStart"/>
      <w:r w:rsidR="00BB65D3">
        <w:t>Junn</w:t>
      </w:r>
      <w:proofErr w:type="spellEnd"/>
      <w:r w:rsidR="004B03E6">
        <w:t xml:space="preserve"> </w:t>
      </w:r>
      <w:r w:rsidR="00682F28">
        <w:t>2016).</w:t>
      </w:r>
    </w:p>
    <w:p w14:paraId="16CD3638" w14:textId="468FCE7B" w:rsidR="006C1E65" w:rsidRDefault="006C1E65" w:rsidP="006C1E65">
      <w:pPr>
        <w:spacing w:line="480" w:lineRule="auto"/>
        <w:ind w:firstLine="720"/>
      </w:pPr>
      <w:r>
        <w:t xml:space="preserve">A </w:t>
      </w:r>
      <w:r w:rsidR="00D756FC">
        <w:t xml:space="preserve">third </w:t>
      </w:r>
      <w:r>
        <w:t xml:space="preserve">approach is purposive sampling. Here, expert judgment </w:t>
      </w:r>
      <w:r w:rsidR="004923C5">
        <w:t>allows</w:t>
      </w:r>
      <w:r>
        <w:t xml:space="preserve"> researchers to choose locations</w:t>
      </w:r>
      <w:r w:rsidR="003B2CF7">
        <w:t>,</w:t>
      </w:r>
      <w:r>
        <w:t xml:space="preserve"> given their aims. For example, McCloud et al. (201</w:t>
      </w:r>
      <w:r w:rsidR="00823BDF">
        <w:t>9</w:t>
      </w:r>
      <w:r>
        <w:t>) assess</w:t>
      </w:r>
      <w:r w:rsidR="00227125">
        <w:t>ed</w:t>
      </w:r>
      <w:r>
        <w:t xml:space="preserve"> cancer incidence in Massachusetts</w:t>
      </w:r>
      <w:r w:rsidR="003B2CF7">
        <w:t xml:space="preserve"> with a hybrid probability/quota </w:t>
      </w:r>
      <w:r>
        <w:t>internet sample</w:t>
      </w:r>
      <w:r w:rsidR="00A915CF">
        <w:t xml:space="preserve">. </w:t>
      </w:r>
      <w:r w:rsidR="00227125">
        <w:t>T</w:t>
      </w:r>
      <w:r>
        <w:t>hey worried</w:t>
      </w:r>
      <w:r w:rsidR="00812E1E">
        <w:t>,</w:t>
      </w:r>
      <w:r w:rsidR="00227125">
        <w:t xml:space="preserve"> though</w:t>
      </w:r>
      <w:r w:rsidR="00812E1E">
        <w:t>,</w:t>
      </w:r>
      <w:r>
        <w:t xml:space="preserve"> that this approach would underrepresent low socio</w:t>
      </w:r>
      <w:r w:rsidR="0092726E">
        <w:t>-</w:t>
      </w:r>
      <w:r>
        <w:t>economic individuals due to a lack of reliable internet access and distrust of the research institutions who overs</w:t>
      </w:r>
      <w:r w:rsidR="006A2B0B">
        <w:t>aw</w:t>
      </w:r>
      <w:r>
        <w:t xml:space="preserve"> the study. The researchers thus collected a purposive sample</w:t>
      </w:r>
      <w:r w:rsidR="003B2CF7">
        <w:t xml:space="preserve">, working </w:t>
      </w:r>
      <w:r>
        <w:t>with community groups to identify locations to reach those of lower socio</w:t>
      </w:r>
      <w:r w:rsidR="0092726E">
        <w:t>-</w:t>
      </w:r>
      <w:r>
        <w:t>economic status</w:t>
      </w:r>
      <w:r w:rsidR="003B2CF7">
        <w:t xml:space="preserve"> in-person</w:t>
      </w:r>
      <w:r>
        <w:t xml:space="preserve"> (e.g., community centers, soup kitchens, public libraries). Their community-based purposive sample included substantially more low-income, less</w:t>
      </w:r>
      <w:r w:rsidR="007C2BAE">
        <w:t>-</w:t>
      </w:r>
      <w:r>
        <w:t>educated, and racial minority respondents</w:t>
      </w:r>
      <w:r w:rsidR="003B2CF7">
        <w:t xml:space="preserve"> </w:t>
      </w:r>
      <w:r w:rsidR="006A2B0B">
        <w:t xml:space="preserve">who </w:t>
      </w:r>
      <w:r w:rsidR="003B2CF7">
        <w:t>exhibited differences</w:t>
      </w:r>
      <w:r w:rsidR="00072BBD">
        <w:t>,</w:t>
      </w:r>
      <w:r>
        <w:t xml:space="preserve"> including </w:t>
      </w:r>
      <w:r w:rsidR="003B2CF7">
        <w:t xml:space="preserve">less adherence to </w:t>
      </w:r>
      <w:r w:rsidR="00416B79">
        <w:t>colorectal cancer guidelines and much greater d</w:t>
      </w:r>
      <w:r>
        <w:t xml:space="preserve">ifficulty </w:t>
      </w:r>
      <w:r w:rsidR="00416B79">
        <w:t>in</w:t>
      </w:r>
      <w:r>
        <w:t xml:space="preserve"> obtaining health information.</w:t>
      </w:r>
      <w:r w:rsidR="00416B79">
        <w:t xml:space="preserve"> </w:t>
      </w:r>
      <w:r>
        <w:t xml:space="preserve">The authors point out that “without the purposeful oversample… we would </w:t>
      </w:r>
      <w:r w:rsidR="00812E1E">
        <w:t xml:space="preserve">have </w:t>
      </w:r>
      <w:r>
        <w:t>been underpowered to detect important differences between groups”</w:t>
      </w:r>
      <w:r w:rsidR="00E5302E">
        <w:t xml:space="preserve"> and </w:t>
      </w:r>
      <w:r>
        <w:t>these people “may otherwise not have a voice” (</w:t>
      </w:r>
      <w:r w:rsidR="00E5302E">
        <w:t>439-</w:t>
      </w:r>
      <w:r>
        <w:t>440</w:t>
      </w:r>
      <w:r w:rsidR="00A915CF">
        <w:t>; also see Viswanath et al. in this volume).</w:t>
      </w:r>
      <w:r>
        <w:t xml:space="preserve"> </w:t>
      </w:r>
    </w:p>
    <w:p w14:paraId="54A98283" w14:textId="60C07F62" w:rsidR="00997042" w:rsidRDefault="00D756FC" w:rsidP="006C1E65">
      <w:pPr>
        <w:spacing w:line="480" w:lineRule="auto"/>
        <w:ind w:firstLine="720"/>
      </w:pPr>
      <w:r>
        <w:t>Fourth</w:t>
      </w:r>
      <w:r w:rsidR="00563552">
        <w:t>,</w:t>
      </w:r>
      <w:r w:rsidR="00997042">
        <w:t xml:space="preserve"> </w:t>
      </w:r>
      <w:r w:rsidR="00B07F66">
        <w:t xml:space="preserve">in </w:t>
      </w:r>
      <w:r w:rsidR="00997042">
        <w:t>snowball sampling</w:t>
      </w:r>
      <w:r w:rsidR="00B07F66">
        <w:t>,</w:t>
      </w:r>
      <w:r w:rsidR="00997042">
        <w:t xml:space="preserve"> </w:t>
      </w:r>
      <w:r w:rsidR="00563552">
        <w:t xml:space="preserve">the </w:t>
      </w:r>
      <w:r w:rsidR="00997042">
        <w:t xml:space="preserve">researcher </w:t>
      </w:r>
      <w:r w:rsidR="00B07F66">
        <w:t xml:space="preserve">utilizes </w:t>
      </w:r>
      <w:r w:rsidR="00997042">
        <w:t>participants to recruit others. For example, Tang et al. (2021) sought t</w:t>
      </w:r>
      <w:r w:rsidR="006C1E65">
        <w:t xml:space="preserve">o study differences between those </w:t>
      </w:r>
      <w:r w:rsidR="00997042">
        <w:t xml:space="preserve">quarantining in different </w:t>
      </w:r>
      <w:r w:rsidR="00B07F66">
        <w:t xml:space="preserve">geographic </w:t>
      </w:r>
      <w:r w:rsidR="00F6010C">
        <w:t xml:space="preserve">locations </w:t>
      </w:r>
      <w:r w:rsidR="006C1E65">
        <w:t xml:space="preserve">during COVID-19 </w:t>
      </w:r>
      <w:r w:rsidR="00997042">
        <w:t>in China</w:t>
      </w:r>
      <w:r w:rsidR="00B07F66">
        <w:t xml:space="preserve">, a </w:t>
      </w:r>
      <w:r w:rsidR="00997042">
        <w:t>hard</w:t>
      </w:r>
      <w:r w:rsidR="0051577D">
        <w:t>-</w:t>
      </w:r>
      <w:r w:rsidR="00997042">
        <w:t>to</w:t>
      </w:r>
      <w:r w:rsidR="0051577D">
        <w:t>-</w:t>
      </w:r>
      <w:r w:rsidR="00997042">
        <w:t>reach population. The</w:t>
      </w:r>
      <w:r w:rsidR="006C1E65">
        <w:t xml:space="preserve"> researchers</w:t>
      </w:r>
      <w:r w:rsidR="00997042">
        <w:t xml:space="preserve"> contacted individuals in quarantine in strongly affected areas,</w:t>
      </w:r>
      <w:r w:rsidR="007C2BAE">
        <w:t xml:space="preserve"> individuals</w:t>
      </w:r>
      <w:r w:rsidR="00997042">
        <w:t xml:space="preserve"> in quarantine in unaffected areas, and people not in quarantine. They asked the first 10 respondents </w:t>
      </w:r>
      <w:r w:rsidR="006C1E65">
        <w:t>of each group</w:t>
      </w:r>
      <w:r w:rsidR="00997042">
        <w:t xml:space="preserve"> to provide social contacts</w:t>
      </w:r>
      <w:r w:rsidR="006C1E65">
        <w:t xml:space="preserve"> (from the same population), and </w:t>
      </w:r>
      <w:r w:rsidR="00997042">
        <w:t xml:space="preserve">then </w:t>
      </w:r>
      <w:r w:rsidR="006C1E65">
        <w:t>randomly chose to use the lists provided by the s</w:t>
      </w:r>
      <w:r w:rsidR="00997042">
        <w:t>econd and third respondent</w:t>
      </w:r>
      <w:r w:rsidR="006C1E65">
        <w:t>s of each group. They surveyed those lists</w:t>
      </w:r>
      <w:r w:rsidR="00997042">
        <w:t xml:space="preserve">, </w:t>
      </w:r>
      <w:r w:rsidR="006C1E65">
        <w:t xml:space="preserve">asking </w:t>
      </w:r>
      <w:r w:rsidR="00997042">
        <w:t>each new respondent to produce lists</w:t>
      </w:r>
      <w:r w:rsidR="006C1E65">
        <w:t xml:space="preserve"> as well</w:t>
      </w:r>
      <w:r w:rsidR="00997042">
        <w:t xml:space="preserve">. </w:t>
      </w:r>
      <w:r w:rsidR="006C1E65">
        <w:t xml:space="preserve">This approach provided the researchers with </w:t>
      </w:r>
      <w:r w:rsidR="006C1E65">
        <w:lastRenderedPageBreak/>
        <w:t xml:space="preserve">sufficiently sized samples, from which they </w:t>
      </w:r>
      <w:r w:rsidR="00645DB0">
        <w:t>report</w:t>
      </w:r>
      <w:r w:rsidR="006C1E65">
        <w:t xml:space="preserve"> evidence that quarantining leads to higher rates of depression, particularly when in </w:t>
      </w:r>
      <w:r w:rsidR="00997042">
        <w:t>unaffected areas.</w:t>
      </w:r>
    </w:p>
    <w:p w14:paraId="38BF394C" w14:textId="43DCF195" w:rsidR="00C20AC7" w:rsidRDefault="00416B79" w:rsidP="00D756FC">
      <w:pPr>
        <w:spacing w:line="480" w:lineRule="auto"/>
        <w:ind w:firstLine="720"/>
      </w:pPr>
      <w:r>
        <w:t xml:space="preserve">Finally, </w:t>
      </w:r>
      <w:r w:rsidR="00D00969">
        <w:t>respondent</w:t>
      </w:r>
      <w:r w:rsidR="00FB77BC">
        <w:t>-</w:t>
      </w:r>
      <w:r w:rsidR="00997042">
        <w:t>driven sampling</w:t>
      </w:r>
      <w:r w:rsidR="00515028">
        <w:t xml:space="preserve"> (RDS)</w:t>
      </w:r>
      <w:r w:rsidR="00997042">
        <w:t xml:space="preserve"> follows a similar procedure </w:t>
      </w:r>
      <w:r w:rsidR="00FB77BC">
        <w:t>to</w:t>
      </w:r>
      <w:r w:rsidR="00997042">
        <w:t xml:space="preserve"> snowball sampling</w:t>
      </w:r>
      <w:r w:rsidR="001E73CF">
        <w:t>,</w:t>
      </w:r>
      <w:r w:rsidR="00997042">
        <w:t xml:space="preserve"> with initial participants providing recruitment information from a set number of their peers</w:t>
      </w:r>
      <w:r w:rsidR="00CF1AA4">
        <w:t xml:space="preserve"> (</w:t>
      </w:r>
      <w:proofErr w:type="spellStart"/>
      <w:r w:rsidR="00D00969" w:rsidRPr="00CF1AA4">
        <w:t>Heckathorn</w:t>
      </w:r>
      <w:proofErr w:type="spellEnd"/>
      <w:r w:rsidR="00D00969" w:rsidRPr="00CF1AA4">
        <w:t xml:space="preserve"> </w:t>
      </w:r>
      <w:r w:rsidR="00D00969">
        <w:t>1997</w:t>
      </w:r>
      <w:r w:rsidR="00E440F2">
        <w:t>;</w:t>
      </w:r>
      <w:r w:rsidR="00D00969">
        <w:t xml:space="preserve"> </w:t>
      </w:r>
      <w:proofErr w:type="spellStart"/>
      <w:r w:rsidR="00CF1AA4" w:rsidRPr="00CF1AA4">
        <w:t>Salganik</w:t>
      </w:r>
      <w:proofErr w:type="spellEnd"/>
      <w:r w:rsidR="00CF1AA4" w:rsidRPr="00CF1AA4">
        <w:t xml:space="preserve"> and </w:t>
      </w:r>
      <w:proofErr w:type="spellStart"/>
      <w:r w:rsidR="00CF1AA4" w:rsidRPr="00CF1AA4">
        <w:t>Heckathorn</w:t>
      </w:r>
      <w:proofErr w:type="spellEnd"/>
      <w:r w:rsidR="00CF1AA4" w:rsidRPr="00CF1AA4">
        <w:t xml:space="preserve"> 2004</w:t>
      </w:r>
      <w:r w:rsidR="00CF1AA4">
        <w:t>)</w:t>
      </w:r>
      <w:r w:rsidR="00997042">
        <w:t>.</w:t>
      </w:r>
      <w:r w:rsidR="001E73CF">
        <w:t xml:space="preserve"> </w:t>
      </w:r>
      <w:r w:rsidR="00F6010C">
        <w:t>Unlike snowball sampling,</w:t>
      </w:r>
      <w:r w:rsidR="001E73CF">
        <w:t xml:space="preserve"> </w:t>
      </w:r>
      <w:r w:rsidR="00F6010C">
        <w:t xml:space="preserve">RDS </w:t>
      </w:r>
      <w:r w:rsidR="00997042">
        <w:t xml:space="preserve">asks respondents to provide information about </w:t>
      </w:r>
      <w:r w:rsidR="001E73CF">
        <w:t>how</w:t>
      </w:r>
      <w:r w:rsidR="00997042">
        <w:t xml:space="preserve"> many people in the target population they know</w:t>
      </w:r>
      <w:r w:rsidR="00645DB0">
        <w:t xml:space="preserve"> and who know them</w:t>
      </w:r>
      <w:r w:rsidR="00997042">
        <w:t xml:space="preserve">. Researchers then use </w:t>
      </w:r>
      <w:r w:rsidR="0051577D">
        <w:t xml:space="preserve">these identified connections </w:t>
      </w:r>
      <w:r w:rsidR="00997042">
        <w:t>to weight respondents</w:t>
      </w:r>
      <w:r w:rsidR="0051577D">
        <w:t>,</w:t>
      </w:r>
      <w:r w:rsidR="00997042">
        <w:t xml:space="preserve"> such that those with more connections</w:t>
      </w:r>
      <w:r w:rsidR="0051577D">
        <w:t>, who have a higher probability of being sampled,</w:t>
      </w:r>
      <w:r w:rsidR="00997042">
        <w:t xml:space="preserve"> are weigh</w:t>
      </w:r>
      <w:r w:rsidR="0051577D">
        <w:t>t</w:t>
      </w:r>
      <w:r w:rsidR="00997042">
        <w:t>ed less</w:t>
      </w:r>
      <w:r w:rsidR="00812E1E">
        <w:t>,</w:t>
      </w:r>
      <w:r w:rsidR="00997042">
        <w:t xml:space="preserve"> and those with fewer connections are weighted more. </w:t>
      </w:r>
      <w:r w:rsidR="00D756FC">
        <w:t>In addition to hard-to-reach populations and stigmatized groups, RDS is often used to sample extremely rare or small populations for whom traditional techniques would be cost prohibitive (Giles and Handcock 2010), such as Korean American immigrants (Lee 2020)</w:t>
      </w:r>
      <w:r w:rsidR="00227125">
        <w:t xml:space="preserve"> </w:t>
      </w:r>
      <w:r w:rsidR="0051577D">
        <w:t>and</w:t>
      </w:r>
      <w:r w:rsidR="00D756FC">
        <w:t xml:space="preserve"> </w:t>
      </w:r>
      <w:r w:rsidR="00997042">
        <w:t xml:space="preserve">adolescents living </w:t>
      </w:r>
      <w:r w:rsidR="00BC73AB">
        <w:t xml:space="preserve">in </w:t>
      </w:r>
      <w:r w:rsidR="00997042">
        <w:t>economically distressed urban settings</w:t>
      </w:r>
      <w:r w:rsidR="001E73CF">
        <w:t xml:space="preserve"> </w:t>
      </w:r>
      <w:r w:rsidR="0051577D">
        <w:t>(Decker et al. 2014)</w:t>
      </w:r>
      <w:r w:rsidR="001E73CF">
        <w:t>.</w:t>
      </w:r>
      <w:r w:rsidR="00997042">
        <w:t xml:space="preserve"> </w:t>
      </w:r>
      <w:r w:rsidR="0051577D">
        <w:t>Using RDS, Decker et al. (2014)</w:t>
      </w:r>
      <w:r w:rsidR="00997042">
        <w:t xml:space="preserve"> find nearly 10</w:t>
      </w:r>
      <w:r w:rsidR="00812E1E">
        <w:t xml:space="preserve"> percent</w:t>
      </w:r>
      <w:r w:rsidR="00645DB0">
        <w:t xml:space="preserve"> of economically distressed adolescents</w:t>
      </w:r>
      <w:r w:rsidR="00997042">
        <w:t xml:space="preserve"> report having unstable housing and nearly 30</w:t>
      </w:r>
      <w:r w:rsidR="00812E1E">
        <w:t xml:space="preserve"> percent</w:t>
      </w:r>
      <w:r w:rsidR="00997042">
        <w:t xml:space="preserve"> report high levels of school truancy. </w:t>
      </w:r>
    </w:p>
    <w:p w14:paraId="0A2C2B33" w14:textId="7CF837BF" w:rsidR="001233C5" w:rsidRDefault="00227125" w:rsidP="00227125">
      <w:pPr>
        <w:spacing w:line="480" w:lineRule="auto"/>
        <w:ind w:firstLine="720"/>
      </w:pPr>
      <w:r>
        <w:t xml:space="preserve">While </w:t>
      </w:r>
      <w:r w:rsidR="006A2B0B">
        <w:t xml:space="preserve">some of </w:t>
      </w:r>
      <w:r>
        <w:t>these approaches preclude in</w:t>
      </w:r>
      <w:r w:rsidR="00997042">
        <w:t>ference</w:t>
      </w:r>
      <w:r w:rsidR="00FB0372">
        <w:t>s</w:t>
      </w:r>
      <w:r w:rsidR="00997042">
        <w:t xml:space="preserve"> to the entire population of the given group</w:t>
      </w:r>
      <w:r>
        <w:t>,</w:t>
      </w:r>
      <w:r w:rsidR="00C20AC7">
        <w:t xml:space="preserve"> </w:t>
      </w:r>
      <w:r>
        <w:t xml:space="preserve">they still </w:t>
      </w:r>
      <w:r w:rsidR="00997042">
        <w:t xml:space="preserve">can </w:t>
      </w:r>
      <w:r w:rsidR="00FB0372">
        <w:t xml:space="preserve">produce </w:t>
      </w:r>
      <w:r w:rsidR="00997042">
        <w:t xml:space="preserve">vital information </w:t>
      </w:r>
      <w:r w:rsidR="00E727BA">
        <w:t xml:space="preserve">for </w:t>
      </w:r>
      <w:r w:rsidR="00997042">
        <w:t>crucial interventions</w:t>
      </w:r>
      <w:r w:rsidR="003E6E0A">
        <w:t xml:space="preserve"> and engagement</w:t>
      </w:r>
      <w:r w:rsidR="00997042">
        <w:t>.</w:t>
      </w:r>
      <w:r w:rsidR="00214628">
        <w:rPr>
          <w:rStyle w:val="EndnoteReference"/>
        </w:rPr>
        <w:endnoteReference w:id="3"/>
      </w:r>
      <w:r w:rsidR="00214628">
        <w:t xml:space="preserve"> </w:t>
      </w:r>
      <w:r w:rsidR="007166FB">
        <w:t xml:space="preserve">Nearly every </w:t>
      </w:r>
      <w:r w:rsidR="00997042">
        <w:t xml:space="preserve">example </w:t>
      </w:r>
      <w:r w:rsidR="004B03E6">
        <w:t>reviewed</w:t>
      </w:r>
      <w:r w:rsidR="00997042">
        <w:t xml:space="preserve"> reveals non-trivial disparities among a differentiated subgroup </w:t>
      </w:r>
      <w:r w:rsidR="00E821C6">
        <w:t>that, e</w:t>
      </w:r>
      <w:r w:rsidR="00997042">
        <w:t xml:space="preserve">ven if one cannot infer the percentages, </w:t>
      </w:r>
      <w:r w:rsidR="001E73CF">
        <w:t>suggests</w:t>
      </w:r>
      <w:r w:rsidR="00997042">
        <w:t xml:space="preserve"> the need for </w:t>
      </w:r>
      <w:r w:rsidR="00A915CF">
        <w:t>further exploration and</w:t>
      </w:r>
      <w:r w:rsidR="00F14803">
        <w:t>,</w:t>
      </w:r>
      <w:r w:rsidR="00A915CF">
        <w:t xml:space="preserve"> potential</w:t>
      </w:r>
      <w:r w:rsidR="00F14803">
        <w:t>ly,</w:t>
      </w:r>
      <w:r w:rsidR="00A915CF">
        <w:t xml:space="preserve"> </w:t>
      </w:r>
      <w:r w:rsidR="00F14803">
        <w:t xml:space="preserve">for </w:t>
      </w:r>
      <w:r w:rsidR="00A915CF">
        <w:t>interventions</w:t>
      </w:r>
      <w:r w:rsidR="00997042">
        <w:t xml:space="preserve">. </w:t>
      </w:r>
      <w:r w:rsidR="00E821C6">
        <w:t>M</w:t>
      </w:r>
      <w:r w:rsidR="001233C5">
        <w:t xml:space="preserve">any of </w:t>
      </w:r>
      <w:r w:rsidR="00997042">
        <w:t>the examples concern health – scholars have done more work on disparities in health than other science areas (e.g., climate change, energy, new technologies)</w:t>
      </w:r>
      <w:r w:rsidR="00E821C6">
        <w:t xml:space="preserve"> – but, </w:t>
      </w:r>
      <w:r w:rsidR="001E73CF">
        <w:t xml:space="preserve">given the previously </w:t>
      </w:r>
      <w:r w:rsidR="00BC73AB">
        <w:t xml:space="preserve">identified </w:t>
      </w:r>
      <w:r w:rsidR="00A9543D">
        <w:t>inequities</w:t>
      </w:r>
      <w:r w:rsidR="00E821C6">
        <w:t>, more work is essential in these other domains</w:t>
      </w:r>
      <w:r w:rsidR="001E73CF">
        <w:t>.</w:t>
      </w:r>
      <w:r>
        <w:t xml:space="preserve"> Notably, scholars have moved towards</w:t>
      </w:r>
      <w:r w:rsidR="001233C5">
        <w:t xml:space="preserve"> combin</w:t>
      </w:r>
      <w:r>
        <w:t>ing</w:t>
      </w:r>
      <w:r w:rsidR="001233C5">
        <w:t xml:space="preserve"> multiple sampling technique</w:t>
      </w:r>
      <w:r>
        <w:t xml:space="preserve">s </w:t>
      </w:r>
      <w:r>
        <w:lastRenderedPageBreak/>
        <w:t xml:space="preserve">to </w:t>
      </w:r>
      <w:r w:rsidR="00FB0372">
        <w:t>mitigate the limitations of any single approach</w:t>
      </w:r>
      <w:r w:rsidR="001233C5">
        <w:t xml:space="preserve">. </w:t>
      </w:r>
      <w:r>
        <w:t xml:space="preserve">This might involve </w:t>
      </w:r>
      <w:r w:rsidR="001233C5">
        <w:t>oversampl</w:t>
      </w:r>
      <w:r>
        <w:t>ing</w:t>
      </w:r>
      <w:r w:rsidR="001233C5">
        <w:t xml:space="preserve"> racial minority groups through a combination of panel</w:t>
      </w:r>
      <w:r w:rsidR="00FB0372">
        <w:t xml:space="preserve"> recontacts</w:t>
      </w:r>
      <w:r w:rsidR="001233C5">
        <w:t xml:space="preserve"> and </w:t>
      </w:r>
      <w:r w:rsidR="00D348E9">
        <w:t>newly recruited respondents</w:t>
      </w:r>
      <w:r w:rsidR="00E821C6">
        <w:t>,</w:t>
      </w:r>
      <w:r w:rsidR="00D348E9">
        <w:t xml:space="preserve"> using </w:t>
      </w:r>
      <w:r w:rsidR="001233C5">
        <w:t>random digit dialing (RDD)</w:t>
      </w:r>
      <w:r w:rsidR="00E821C6">
        <w:t>,</w:t>
      </w:r>
      <w:r w:rsidR="00FB0372">
        <w:t xml:space="preserve"> address-based sampling (ABS)</w:t>
      </w:r>
      <w:r w:rsidR="001233C5">
        <w:t xml:space="preserve"> of high-density areas</w:t>
      </w:r>
      <w:r w:rsidR="00E821C6">
        <w:t>,</w:t>
      </w:r>
      <w:r w:rsidR="00D348E9">
        <w:t xml:space="preserve"> and lists</w:t>
      </w:r>
      <w:r w:rsidR="001233C5">
        <w:t xml:space="preserve"> (</w:t>
      </w:r>
      <w:r w:rsidR="009B0CD3">
        <w:t>e.g.,</w:t>
      </w:r>
      <w:r w:rsidR="00E440F2">
        <w:t xml:space="preserve"> </w:t>
      </w:r>
      <w:r w:rsidR="00D348E9">
        <w:t>Pew Research Center 2011, 2012</w:t>
      </w:r>
      <w:r w:rsidR="00E440F2">
        <w:t>; PRRI 2019</w:t>
      </w:r>
      <w:r w:rsidR="001233C5">
        <w:t xml:space="preserve">). </w:t>
      </w:r>
      <w:r w:rsidR="003E6E0A">
        <w:t>Of course, choosing which method is appropriate depends on the goals of the research</w:t>
      </w:r>
      <w:r w:rsidR="00A915CF">
        <w:t xml:space="preserve">; </w:t>
      </w:r>
      <w:r w:rsidR="003E6E0A">
        <w:t>distinct sampling methods bring inevitable tradeoffs concerning coverage, representation, and generalizability. The focus</w:t>
      </w:r>
      <w:r w:rsidR="00C72F11">
        <w:t>,</w:t>
      </w:r>
      <w:r w:rsidR="003E6E0A">
        <w:t xml:space="preserve"> though</w:t>
      </w:r>
      <w:r w:rsidR="00C72F11">
        <w:t>,</w:t>
      </w:r>
      <w:r w:rsidR="003E6E0A">
        <w:t xml:space="preserve"> should lie with the opportunities now available</w:t>
      </w:r>
      <w:r w:rsidR="00C72F11">
        <w:t>,</w:t>
      </w:r>
      <w:r w:rsidR="003E6E0A">
        <w:t xml:space="preserve"> rather than with the limits of any one method.</w:t>
      </w:r>
    </w:p>
    <w:p w14:paraId="44D72DC6" w14:textId="765F453F" w:rsidR="001E73CF" w:rsidRDefault="001E73CF" w:rsidP="001E73CF">
      <w:pPr>
        <w:spacing w:line="480" w:lineRule="auto"/>
        <w:rPr>
          <w:b/>
          <w:bCs/>
        </w:rPr>
      </w:pPr>
      <w:r w:rsidRPr="002B2EFD">
        <w:rPr>
          <w:b/>
          <w:bCs/>
        </w:rPr>
        <w:t>Survey Implementation</w:t>
      </w:r>
    </w:p>
    <w:p w14:paraId="28662FD3" w14:textId="15F711F5" w:rsidR="001E73CF" w:rsidRDefault="0003442E" w:rsidP="00396186">
      <w:pPr>
        <w:spacing w:line="480" w:lineRule="auto"/>
      </w:pPr>
      <w:r>
        <w:rPr>
          <w:b/>
          <w:bCs/>
        </w:rPr>
        <w:tab/>
      </w:r>
      <w:r w:rsidR="00396186" w:rsidRPr="00645DB0">
        <w:t>S</w:t>
      </w:r>
      <w:r w:rsidRPr="00645DB0">
        <w:t>tu</w:t>
      </w:r>
      <w:r>
        <w:t>dying targeted groups require</w:t>
      </w:r>
      <w:r w:rsidR="00F77BDA">
        <w:t>s</w:t>
      </w:r>
      <w:r>
        <w:t xml:space="preserve"> attention to </w:t>
      </w:r>
      <w:r w:rsidR="00BB61FB">
        <w:t>unique</w:t>
      </w:r>
      <w:r>
        <w:t xml:space="preserve"> implementation and measurement considerations. </w:t>
      </w:r>
      <w:r w:rsidR="00396186">
        <w:t>First, l</w:t>
      </w:r>
      <w:r w:rsidR="001E73CF">
        <w:t xml:space="preserve">anguage is </w:t>
      </w:r>
      <w:r w:rsidR="001F132B">
        <w:t xml:space="preserve">an important </w:t>
      </w:r>
      <w:r w:rsidR="00CD33FE">
        <w:t>factor</w:t>
      </w:r>
      <w:r w:rsidR="001E73CF">
        <w:t xml:space="preserve"> </w:t>
      </w:r>
      <w:r w:rsidR="00536B9C">
        <w:t>in securing participation and minimizing measurement error in responses</w:t>
      </w:r>
      <w:r w:rsidR="009E4B7A">
        <w:t xml:space="preserve"> for </w:t>
      </w:r>
      <w:r w:rsidR="001E73CF">
        <w:t>non-English speaking</w:t>
      </w:r>
      <w:r w:rsidR="009E4B7A">
        <w:t xml:space="preserve"> respondents</w:t>
      </w:r>
      <w:r w:rsidR="001E73CF">
        <w:t xml:space="preserve"> </w:t>
      </w:r>
      <w:r w:rsidR="001F132B">
        <w:t>or those for whom English is not their first language</w:t>
      </w:r>
      <w:r w:rsidR="001E73CF">
        <w:t>. This can involve many languages</w:t>
      </w:r>
      <w:r>
        <w:t>;</w:t>
      </w:r>
      <w:r w:rsidR="001E73CF">
        <w:t xml:space="preserve"> for instance, one survey focused on new immigrants was translated into </w:t>
      </w:r>
      <w:r w:rsidR="006914D9">
        <w:t>eight</w:t>
      </w:r>
      <w:r w:rsidR="001E73CF">
        <w:t xml:space="preserve"> languages and administered (via phone) in over 80 languages (Smith 2010</w:t>
      </w:r>
      <w:r w:rsidR="00E440F2">
        <w:t>,</w:t>
      </w:r>
      <w:r w:rsidR="001E73CF">
        <w:t xml:space="preserve"> 744). Translation involves more complex processes than one might assume. </w:t>
      </w:r>
      <w:r>
        <w:t>A</w:t>
      </w:r>
      <w:r w:rsidR="001E73CF">
        <w:t xml:space="preserve">t a minimum, a quality translation requires </w:t>
      </w:r>
      <w:r w:rsidR="00584C25">
        <w:t xml:space="preserve">that </w:t>
      </w:r>
      <w:r w:rsidR="001E73CF">
        <w:t xml:space="preserve">one translator adapts the original questions to the target language, another translator retranslates </w:t>
      </w:r>
      <w:r>
        <w:t>the</w:t>
      </w:r>
      <w:r w:rsidR="001E73CF">
        <w:t xml:space="preserve"> survey to the original language, and researchers compare the two, working with the translators to resolve differences (Cantor et al. 2005). More elaborate processes</w:t>
      </w:r>
      <w:r>
        <w:t xml:space="preserve"> that involve people from the </w:t>
      </w:r>
      <w:r w:rsidR="001E73CF">
        <w:t>target communities produce even more accurate translations (Smith 2010</w:t>
      </w:r>
      <w:r w:rsidR="00E440F2">
        <w:t>,</w:t>
      </w:r>
      <w:r w:rsidR="001E73CF">
        <w:t xml:space="preserve"> 746-747). </w:t>
      </w:r>
    </w:p>
    <w:p w14:paraId="421C7120" w14:textId="44626B19" w:rsidR="00595791" w:rsidRDefault="001E73CF" w:rsidP="001E73CF">
      <w:pPr>
        <w:spacing w:line="480" w:lineRule="auto"/>
      </w:pPr>
      <w:r>
        <w:tab/>
        <w:t xml:space="preserve">A second consideration </w:t>
      </w:r>
      <w:r w:rsidR="0003442E">
        <w:t>is</w:t>
      </w:r>
      <w:r>
        <w:t xml:space="preserve"> the survey mode</w:t>
      </w:r>
      <w:r w:rsidR="0003442E">
        <w:t xml:space="preserve"> </w:t>
      </w:r>
      <w:r>
        <w:t>– that is, whether respondents participate in-person, via telephone, or through the mail</w:t>
      </w:r>
      <w:r w:rsidR="00931EB2">
        <w:t>,</w:t>
      </w:r>
      <w:r>
        <w:t xml:space="preserve"> </w:t>
      </w:r>
      <w:r w:rsidR="00FB77BC">
        <w:t xml:space="preserve">via </w:t>
      </w:r>
      <w:r>
        <w:t>e-mail</w:t>
      </w:r>
      <w:r w:rsidR="00931EB2">
        <w:t>,</w:t>
      </w:r>
      <w:r>
        <w:t xml:space="preserve"> or</w:t>
      </w:r>
      <w:r w:rsidR="00931EB2">
        <w:t xml:space="preserve"> on</w:t>
      </w:r>
      <w:r>
        <w:t xml:space="preserve"> the web (Tourangeau 2018). Given the inherent difficulty of collecting data from targeted subgroups, scholars need to consider how a given mode affect</w:t>
      </w:r>
      <w:r w:rsidR="0003442E">
        <w:t>s</w:t>
      </w:r>
      <w:r>
        <w:t xml:space="preserve"> recruitment and response. </w:t>
      </w:r>
      <w:r w:rsidR="00396186">
        <w:t>A</w:t>
      </w:r>
      <w:r w:rsidR="00931EB2">
        <w:t>n appropriate mode</w:t>
      </w:r>
      <w:r>
        <w:t xml:space="preserve"> enhances personalization</w:t>
      </w:r>
      <w:r w:rsidR="00931EB2">
        <w:t xml:space="preserve"> </w:t>
      </w:r>
      <w:r w:rsidR="00931EB2">
        <w:lastRenderedPageBreak/>
        <w:t>and legitimacy</w:t>
      </w:r>
      <w:r w:rsidR="00645DB0">
        <w:t xml:space="preserve"> </w:t>
      </w:r>
      <w:r w:rsidR="00931EB2">
        <w:t>and</w:t>
      </w:r>
      <w:r>
        <w:t xml:space="preserve"> minimize</w:t>
      </w:r>
      <w:r w:rsidR="0003442E">
        <w:t>s</w:t>
      </w:r>
      <w:r>
        <w:t xml:space="preserve"> cognitive burden</w:t>
      </w:r>
      <w:r w:rsidR="00396186">
        <w:t xml:space="preserve"> (Tourangeau</w:t>
      </w:r>
      <w:r w:rsidR="00811499">
        <w:t xml:space="preserve">, Rips, and </w:t>
      </w:r>
      <w:proofErr w:type="spellStart"/>
      <w:r w:rsidR="00811499">
        <w:t>Rasinski</w:t>
      </w:r>
      <w:proofErr w:type="spellEnd"/>
      <w:r w:rsidR="00396186">
        <w:t xml:space="preserve"> 2000)</w:t>
      </w:r>
      <w:r>
        <w:t xml:space="preserve">. For instance, the previously described McCloud et al. (2019) study targeted </w:t>
      </w:r>
      <w:r w:rsidR="0003442E">
        <w:t>low</w:t>
      </w:r>
      <w:r w:rsidR="007C2BAE">
        <w:t>-</w:t>
      </w:r>
      <w:r w:rsidR="0003442E">
        <w:t xml:space="preserve">income, blue-collar, homeless, </w:t>
      </w:r>
      <w:r w:rsidR="00B74AF6">
        <w:t>African American</w:t>
      </w:r>
      <w:r>
        <w:t>,</w:t>
      </w:r>
      <w:r w:rsidR="0003442E">
        <w:t xml:space="preserve"> and</w:t>
      </w:r>
      <w:r>
        <w:t xml:space="preserve"> Latino</w:t>
      </w:r>
      <w:r w:rsidR="0003442E">
        <w:t xml:space="preserve"> respondents</w:t>
      </w:r>
      <w:r>
        <w:t xml:space="preserve">. They </w:t>
      </w:r>
      <w:r w:rsidR="00931EB2">
        <w:t xml:space="preserve">conducted an in-person study at </w:t>
      </w:r>
      <w:r>
        <w:t>community sites</w:t>
      </w:r>
      <w:r w:rsidR="00931EB2">
        <w:t>,</w:t>
      </w:r>
      <w:r w:rsidR="00B74AF6">
        <w:t xml:space="preserve"> which</w:t>
      </w:r>
      <w:r>
        <w:t xml:space="preserve"> personalized the process </w:t>
      </w:r>
      <w:r w:rsidR="00931EB2">
        <w:t xml:space="preserve">and </w:t>
      </w:r>
      <w:r>
        <w:t xml:space="preserve">established legitimacy. </w:t>
      </w:r>
      <w:r w:rsidR="00B74AF6">
        <w:t>Additionally,</w:t>
      </w:r>
      <w:r>
        <w:t xml:space="preserve"> cognitive burdens were minimized by “going to” the respondents</w:t>
      </w:r>
      <w:r w:rsidR="006D13FC">
        <w:t>, offering English and Spanish versions,</w:t>
      </w:r>
      <w:r>
        <w:t xml:space="preserve"> and having them comp</w:t>
      </w:r>
      <w:r w:rsidR="00067144">
        <w:t>l</w:t>
      </w:r>
      <w:r>
        <w:t>ete the survey on paper, rather than computers</w:t>
      </w:r>
      <w:r w:rsidR="006D13FC">
        <w:t>,</w:t>
      </w:r>
      <w:r>
        <w:t xml:space="preserve"> which may be less familiar. </w:t>
      </w:r>
      <w:r w:rsidR="0003442E">
        <w:t>Such steps o</w:t>
      </w:r>
      <w:r>
        <w:t>ften must be taken when the target population includes lower</w:t>
      </w:r>
      <w:r w:rsidR="00067144">
        <w:t>-</w:t>
      </w:r>
      <w:r>
        <w:t xml:space="preserve">income respondents who frequently move and often have low trust in strangers and the government (Weiss and </w:t>
      </w:r>
      <w:proofErr w:type="spellStart"/>
      <w:r>
        <w:t>Bailar</w:t>
      </w:r>
      <w:proofErr w:type="spellEnd"/>
      <w:r>
        <w:t xml:space="preserve"> 2002). </w:t>
      </w:r>
      <w:r w:rsidR="006265E8">
        <w:t>Careful selection of mode and location can also facilitate sampling of targeted groups. For instance, Barreto and Dana (2019) surveyed American Muslims in an exit-poll fashion by recruiting respondents in</w:t>
      </w:r>
      <w:r w:rsidR="00067144">
        <w:t xml:space="preserve"> </w:t>
      </w:r>
      <w:r w:rsidR="006265E8">
        <w:t>person</w:t>
      </w:r>
      <w:r w:rsidR="008F3BA0">
        <w:t xml:space="preserve"> at religious sites</w:t>
      </w:r>
      <w:r w:rsidR="006265E8">
        <w:t xml:space="preserve"> following Eid prayers</w:t>
      </w:r>
      <w:r w:rsidR="00BD4D42">
        <w:t xml:space="preserve"> and celebrations</w:t>
      </w:r>
      <w:r w:rsidR="006265E8">
        <w:t xml:space="preserve">. Their choice of location </w:t>
      </w:r>
      <w:r w:rsidR="00DC5CEA">
        <w:t>and mode (self-administered paper surveys handed out in person</w:t>
      </w:r>
      <w:r w:rsidR="00EB07CB">
        <w:t xml:space="preserve"> by Muslim interviewers</w:t>
      </w:r>
      <w:r w:rsidR="00DC5CEA">
        <w:t xml:space="preserve">) encouraged trust and </w:t>
      </w:r>
      <w:r w:rsidR="00CD33FE">
        <w:t xml:space="preserve">participation </w:t>
      </w:r>
      <w:r w:rsidR="00DC5CEA">
        <w:t xml:space="preserve">among </w:t>
      </w:r>
      <w:r w:rsidR="00EB07CB">
        <w:t>the targeted population</w:t>
      </w:r>
      <w:r w:rsidR="00DC5CEA">
        <w:t xml:space="preserve">. </w:t>
      </w:r>
    </w:p>
    <w:p w14:paraId="18288B67" w14:textId="1534D41C" w:rsidR="00595791" w:rsidRDefault="001E73CF" w:rsidP="0081776C">
      <w:pPr>
        <w:spacing w:line="480" w:lineRule="auto"/>
      </w:pPr>
      <w:r>
        <w:tab/>
        <w:t>Mode matters for other groups</w:t>
      </w:r>
      <w:r w:rsidR="00BB397E">
        <w:t>, too</w:t>
      </w:r>
      <w:r>
        <w:t>.</w:t>
      </w:r>
      <w:r w:rsidR="00396186">
        <w:t xml:space="preserve"> For instance, younger respondents tend to register more item-non-response in online surveys than phone surveys (</w:t>
      </w:r>
      <w:r>
        <w:t>Bowyer and Rogowski 2017)</w:t>
      </w:r>
      <w:r w:rsidR="00396186">
        <w:t xml:space="preserve"> and Native American respondents tend to </w:t>
      </w:r>
      <w:r w:rsidR="00CD33FE">
        <w:t>respond less to</w:t>
      </w:r>
      <w:r w:rsidR="00396186">
        <w:t xml:space="preserve"> survey</w:t>
      </w:r>
      <w:r w:rsidR="00CD33FE">
        <w:t>s</w:t>
      </w:r>
      <w:r w:rsidR="00396186">
        <w:t xml:space="preserve"> involving mail (likely</w:t>
      </w:r>
      <w:r w:rsidR="0081776C">
        <w:t xml:space="preserve"> </w:t>
      </w:r>
      <w:r w:rsidR="00544895">
        <w:t>due to low levels of mail coverage in Native American communities)</w:t>
      </w:r>
      <w:r w:rsidR="0081776C">
        <w:t xml:space="preserve"> (Gonz</w:t>
      </w:r>
      <w:r w:rsidR="0081776C" w:rsidRPr="006316B5">
        <w:t>á</w:t>
      </w:r>
      <w:r w:rsidR="0081776C">
        <w:t>lez-</w:t>
      </w:r>
      <w:proofErr w:type="spellStart"/>
      <w:r w:rsidR="0081776C">
        <w:t>Cab</w:t>
      </w:r>
      <w:r w:rsidR="0081776C" w:rsidRPr="006316B5">
        <w:t>á</w:t>
      </w:r>
      <w:r w:rsidR="0081776C">
        <w:t>n</w:t>
      </w:r>
      <w:proofErr w:type="spellEnd"/>
      <w:r w:rsidR="0081776C">
        <w:t xml:space="preserve"> et al. 2007)</w:t>
      </w:r>
      <w:r>
        <w:t>.</w:t>
      </w:r>
      <w:r w:rsidR="0081776C">
        <w:t xml:space="preserve"> </w:t>
      </w:r>
      <w:r w:rsidR="00595791">
        <w:t>As with sampling techniques, many firms are now moving to multi-mode administration</w:t>
      </w:r>
      <w:r w:rsidR="0081776C">
        <w:t xml:space="preserve"> that </w:t>
      </w:r>
      <w:r w:rsidR="00595791">
        <w:t>combine</w:t>
      </w:r>
      <w:r w:rsidR="00067144">
        <w:t>s</w:t>
      </w:r>
      <w:r w:rsidR="00595791">
        <w:t xml:space="preserve"> telephone and online administration. </w:t>
      </w:r>
      <w:r w:rsidR="0011744A">
        <w:t>A 2018 UCLA study found that a multi-mode</w:t>
      </w:r>
      <w:r w:rsidR="0081776C">
        <w:t xml:space="preserve"> (address, mail, internet)</w:t>
      </w:r>
      <w:r w:rsidR="0011744A">
        <w:t xml:space="preserve"> approach had key advantages over single-mode administration</w:t>
      </w:r>
      <w:r w:rsidR="002E3FBF">
        <w:t>. H</w:t>
      </w:r>
      <w:r w:rsidR="0011744A">
        <w:t>owever</w:t>
      </w:r>
      <w:r w:rsidR="002E3FBF">
        <w:t>,</w:t>
      </w:r>
      <w:r w:rsidR="0011744A">
        <w:t xml:space="preserve"> telephone follow</w:t>
      </w:r>
      <w:r w:rsidR="00927657">
        <w:t>-</w:t>
      </w:r>
      <w:r w:rsidR="0011744A">
        <w:t xml:space="preserve">ups were crucial to obtaining </w:t>
      </w:r>
      <w:r w:rsidR="00961CE5">
        <w:t>samples of small and disadvantaged groups</w:t>
      </w:r>
      <w:r w:rsidR="002E3FBF">
        <w:t xml:space="preserve">, such as </w:t>
      </w:r>
      <w:r w:rsidR="0011744A">
        <w:t>older, less-educated, non-English speak</w:t>
      </w:r>
      <w:r w:rsidR="002E3FBF">
        <w:t>ing</w:t>
      </w:r>
      <w:r w:rsidR="0011744A">
        <w:t>, and foreign</w:t>
      </w:r>
      <w:r w:rsidR="002E3FBF">
        <w:t>-</w:t>
      </w:r>
      <w:r w:rsidR="0011744A">
        <w:t>born</w:t>
      </w:r>
      <w:r w:rsidR="002E3FBF">
        <w:t xml:space="preserve"> participants</w:t>
      </w:r>
      <w:r w:rsidR="0011744A">
        <w:t xml:space="preserve"> (</w:t>
      </w:r>
      <w:r w:rsidR="00D74B44">
        <w:t>Wells et al. 201</w:t>
      </w:r>
      <w:r w:rsidR="00690310">
        <w:t>9</w:t>
      </w:r>
      <w:r w:rsidR="0011744A">
        <w:t xml:space="preserve">). </w:t>
      </w:r>
    </w:p>
    <w:p w14:paraId="41B8259F" w14:textId="3FB9FAB8" w:rsidR="00DC5CEA" w:rsidRDefault="00DC5CEA" w:rsidP="00544895">
      <w:pPr>
        <w:spacing w:line="480" w:lineRule="auto"/>
        <w:ind w:firstLine="720"/>
      </w:pPr>
      <w:r>
        <w:lastRenderedPageBreak/>
        <w:t xml:space="preserve">Related to mode and language considerations is the issue of interviewer identity. Extensive research has documented the impact </w:t>
      </w:r>
      <w:r w:rsidR="00FE7B8A">
        <w:t>of the</w:t>
      </w:r>
      <w:r>
        <w:t xml:space="preserve"> race of the interviewer</w:t>
      </w:r>
      <w:r w:rsidR="00E41E3C">
        <w:t>, particularly co-ethnic interviewers,</w:t>
      </w:r>
      <w:r>
        <w:t xml:space="preserve"> on survey responses. </w:t>
      </w:r>
      <w:r w:rsidR="00C474EA">
        <w:t>R</w:t>
      </w:r>
      <w:r>
        <w:t xml:space="preserve">ecent studies show </w:t>
      </w:r>
      <w:r w:rsidR="00FE7B8A">
        <w:t>important differences in attitudes and behaviors</w:t>
      </w:r>
      <w:r w:rsidR="00E41E3C">
        <w:t>, including self-reported voting,</w:t>
      </w:r>
      <w:r w:rsidR="00FE7B8A">
        <w:t xml:space="preserve"> when </w:t>
      </w:r>
      <w:r w:rsidR="00E41E3C">
        <w:t>Black respondents</w:t>
      </w:r>
      <w:r>
        <w:t xml:space="preserve"> are interviewed by fellow Black people</w:t>
      </w:r>
      <w:r w:rsidR="00FE7B8A">
        <w:t xml:space="preserve"> versus non-Black interviewers</w:t>
      </w:r>
      <w:r w:rsidR="00E41E3C">
        <w:t xml:space="preserve"> </w:t>
      </w:r>
      <w:r>
        <w:t>(</w:t>
      </w:r>
      <w:r w:rsidR="006D2E20">
        <w:t>Laird and White 2020</w:t>
      </w:r>
      <w:r w:rsidR="00544895">
        <w:t>; Jenkins et al. n.d.</w:t>
      </w:r>
      <w:r>
        <w:t>).</w:t>
      </w:r>
    </w:p>
    <w:p w14:paraId="76F3B11D" w14:textId="71824D37" w:rsidR="001E73CF" w:rsidRDefault="001E73CF" w:rsidP="001E73CF">
      <w:pPr>
        <w:spacing w:line="480" w:lineRule="auto"/>
      </w:pPr>
      <w:r>
        <w:tab/>
        <w:t>A third survey administration dynamic with targeted population</w:t>
      </w:r>
      <w:r w:rsidR="00207E44">
        <w:t>s</w:t>
      </w:r>
      <w:r>
        <w:t xml:space="preserve"> concerns variations in perceptions and/or understandings of meanings. For instance, many science surveys ask respondents to rate their concern about the environment. Yet, it turns out that “the environment” carries distinct connotations to different groups. Song et al. (2020) show that non-White and low-income respondents have a broader conceptualization of environmental issues than </w:t>
      </w:r>
      <w:r w:rsidR="00645DB0">
        <w:t>W</w:t>
      </w:r>
      <w:r>
        <w:t xml:space="preserve">hite and high-income respondents. Blacks and </w:t>
      </w:r>
      <w:r w:rsidR="00207E44">
        <w:t>Latinos</w:t>
      </w:r>
      <w:r>
        <w:t xml:space="preserve"> are significantly more likely to identify poverty, unemployment, diabetes, and racism as environmental, while lower</w:t>
      </w:r>
      <w:r w:rsidR="00406C5C">
        <w:t>-</w:t>
      </w:r>
      <w:r>
        <w:t xml:space="preserve">income individuals are significantly more likely to identify unequal access to education and racism as environmental. Moreover, those living in lower-income zip codes are more likely to identify drug abuse, smoking, and unequal access to education as environmental. Consequently, when surveys ask respondents about their attitudes on environmental issues, </w:t>
      </w:r>
      <w:r w:rsidR="00CD33FE">
        <w:t xml:space="preserve">distinct </w:t>
      </w:r>
      <w:r>
        <w:t xml:space="preserve">groups clearly think about </w:t>
      </w:r>
      <w:r w:rsidR="00CD33FE">
        <w:t xml:space="preserve">varying </w:t>
      </w:r>
      <w:r>
        <w:t>issues. This poses substantial interpretation challenges for research on environmental and science attitudes, particularly since many of these differences align with features of populations that make them vulnerable to different environmental threats.</w:t>
      </w:r>
    </w:p>
    <w:p w14:paraId="5A025A29" w14:textId="5703353B" w:rsidR="00C7401E" w:rsidRDefault="001E73CF" w:rsidP="001E73CF">
      <w:pPr>
        <w:spacing w:line="480" w:lineRule="auto"/>
      </w:pPr>
      <w:r w:rsidRPr="00386387">
        <w:tab/>
        <w:t xml:space="preserve">Along similar lines, groups </w:t>
      </w:r>
      <w:r w:rsidR="00CD33FE">
        <w:t>offer multiple interpretations of</w:t>
      </w:r>
      <w:r w:rsidR="00CD33FE" w:rsidRPr="00386387">
        <w:t xml:space="preserve"> </w:t>
      </w:r>
      <w:r w:rsidRPr="00386387">
        <w:t>the</w:t>
      </w:r>
      <w:r w:rsidR="00B36EB4" w:rsidRPr="00386387">
        <w:t xml:space="preserve"> term</w:t>
      </w:r>
      <w:r w:rsidRPr="00386387">
        <w:t xml:space="preserve"> “science</w:t>
      </w:r>
      <w:r w:rsidR="006B1DDD">
        <w:t>.</w:t>
      </w:r>
      <w:r w:rsidRPr="00386387">
        <w:t>”</w:t>
      </w:r>
      <w:r w:rsidR="00386387" w:rsidRPr="00386387">
        <w:t xml:space="preserve"> </w:t>
      </w:r>
      <w:r w:rsidR="00823BDF">
        <w:t xml:space="preserve">Abrams and </w:t>
      </w:r>
      <w:r w:rsidR="00386387" w:rsidRPr="00386387">
        <w:t>Middleton (2017</w:t>
      </w:r>
      <w:r w:rsidR="00E440F2">
        <w:t>,</w:t>
      </w:r>
      <w:r w:rsidR="00386387" w:rsidRPr="00386387">
        <w:t xml:space="preserve"> 168) capture this dynamic</w:t>
      </w:r>
      <w:r w:rsidR="00406C5C">
        <w:t>:</w:t>
      </w:r>
      <w:r w:rsidR="00386387" w:rsidRPr="00386387">
        <w:t xml:space="preserve"> “science knowledge lives in the beliefs and practices of individuals and communities rather than as a body of decontextualized knowledge. Embedded science knowledge may take many forms, including the wisdom and understandings </w:t>
      </w:r>
      <w:r w:rsidR="00386387" w:rsidRPr="00386387">
        <w:lastRenderedPageBreak/>
        <w:t>that individuals develop over time…”</w:t>
      </w:r>
      <w:r w:rsidR="00386387">
        <w:t xml:space="preserve"> A concrete example concerns variation due to </w:t>
      </w:r>
      <w:r>
        <w:t>religiosity. More than half of atheists think that religion and science are incompatible</w:t>
      </w:r>
      <w:r w:rsidR="00406C5C">
        <w:t>,</w:t>
      </w:r>
      <w:r>
        <w:t xml:space="preserve"> while only 9</w:t>
      </w:r>
      <w:r w:rsidR="006F7A74">
        <w:t xml:space="preserve"> to</w:t>
      </w:r>
      <w:r w:rsidR="00EC467D">
        <w:t xml:space="preserve"> </w:t>
      </w:r>
      <w:r>
        <w:t>14</w:t>
      </w:r>
      <w:r w:rsidR="00E440F2">
        <w:t xml:space="preserve"> percent</w:t>
      </w:r>
      <w:r>
        <w:t xml:space="preserve"> of believers see that incompatibility (Baker 2012). </w:t>
      </w:r>
      <w:r w:rsidR="00406C5C">
        <w:t xml:space="preserve">Thus, </w:t>
      </w:r>
      <w:r>
        <w:t xml:space="preserve">inquiring about science (e.g., science funding) </w:t>
      </w:r>
      <w:r w:rsidR="00406C5C">
        <w:t xml:space="preserve">may </w:t>
      </w:r>
      <w:r>
        <w:t>bring forth very different mindsets depending on the target population (e.g., what is included in “science” funding).</w:t>
      </w:r>
      <w:r w:rsidR="00214628">
        <w:rPr>
          <w:rStyle w:val="EndnoteReference"/>
        </w:rPr>
        <w:endnoteReference w:id="4"/>
      </w:r>
      <w:r w:rsidR="00214628">
        <w:t xml:space="preserve"> </w:t>
      </w:r>
      <w:r w:rsidR="00454BEA">
        <w:t>This brings us back to one of our initial motivations, concerning variations in science beliefs. For instance, we mentioned</w:t>
      </w:r>
      <w:r w:rsidR="00C7401E">
        <w:t xml:space="preserve"> findings that racial and ethnic minorities tend to be less scientifically literate. However, scientific literacy is typically measured with factual questions quite distant from (and often irrelevant to) people’s everyday lives.</w:t>
      </w:r>
      <w:r w:rsidR="00CD33FE">
        <w:t xml:space="preserve"> Groups may be literate when it comes to the types of science most relevant to their lives.</w:t>
      </w:r>
      <w:r w:rsidR="00C7401E">
        <w:t xml:space="preserve"> </w:t>
      </w:r>
      <w:r w:rsidR="006F7A74">
        <w:t xml:space="preserve">It may not be productive for researchers to do </w:t>
      </w:r>
      <w:r w:rsidR="00C7401E">
        <w:t xml:space="preserve">the work of collecting data from diverse populations </w:t>
      </w:r>
      <w:r w:rsidR="006F7A74">
        <w:t xml:space="preserve">unless they </w:t>
      </w:r>
      <w:r w:rsidR="00C7401E">
        <w:t>simultaneously seek to understand conceptual variations across groups.</w:t>
      </w:r>
    </w:p>
    <w:p w14:paraId="5F726D76" w14:textId="0CEACC8E" w:rsidR="001E73CF" w:rsidRDefault="001E73CF" w:rsidP="001E73CF">
      <w:pPr>
        <w:spacing w:line="480" w:lineRule="auto"/>
      </w:pPr>
      <w:r>
        <w:tab/>
      </w:r>
      <w:r w:rsidR="00645DB0">
        <w:t>S</w:t>
      </w:r>
      <w:r w:rsidR="00406C5C">
        <w:t>urvey designers</w:t>
      </w:r>
      <w:r w:rsidR="00645DB0">
        <w:t xml:space="preserve"> also</w:t>
      </w:r>
      <w:r w:rsidR="00406C5C">
        <w:t xml:space="preserve"> must ensure they are </w:t>
      </w:r>
      <w:r w:rsidR="00B36EB4">
        <w:t xml:space="preserve">including </w:t>
      </w:r>
      <w:r w:rsidR="00A87A5D">
        <w:t>all</w:t>
      </w:r>
      <w:r>
        <w:t xml:space="preserve"> relevant </w:t>
      </w:r>
      <w:r w:rsidR="00B36EB4">
        <w:t>measures.</w:t>
      </w:r>
      <w:r>
        <w:t xml:space="preserve"> Pearson et al. </w:t>
      </w:r>
      <w:r w:rsidR="003E2CF0">
        <w:t>(2021)</w:t>
      </w:r>
      <w:r>
        <w:t xml:space="preserve"> </w:t>
      </w:r>
      <w:r w:rsidR="0006613A">
        <w:t>demonstrat</w:t>
      </w:r>
      <w:r>
        <w:t xml:space="preserve">e </w:t>
      </w:r>
      <w:r w:rsidR="0006613A">
        <w:t xml:space="preserve">that </w:t>
      </w:r>
      <w:r>
        <w:t>Latinos based their climate change beliefs on familism</w:t>
      </w:r>
      <w:r w:rsidR="00406C5C">
        <w:t>,</w:t>
      </w:r>
      <w:r>
        <w:t xml:space="preserve"> rather than ideology and education; this counters the prevailing wisdom about correlates of climate change beliefs (e.g., </w:t>
      </w:r>
      <w:proofErr w:type="spellStart"/>
      <w:r>
        <w:t>Hornsey</w:t>
      </w:r>
      <w:proofErr w:type="spellEnd"/>
      <w:r>
        <w:t xml:space="preserve"> et al. 2016) and </w:t>
      </w:r>
      <w:r w:rsidR="003E2CF0">
        <w:t xml:space="preserve">shows that studies must </w:t>
      </w:r>
      <w:r w:rsidR="008C1CFC">
        <w:t xml:space="preserve">measure </w:t>
      </w:r>
      <w:r>
        <w:t xml:space="preserve">what matters to this subgroup. </w:t>
      </w:r>
      <w:bookmarkStart w:id="1" w:name="btbl0100"/>
      <w:r>
        <w:t>Similarly,</w:t>
      </w:r>
      <w:r w:rsidRPr="00D13213">
        <w:t xml:space="preserve"> Smith et al. </w:t>
      </w:r>
      <w:r>
        <w:t xml:space="preserve">(2014) find a key correlate of support for climate change policy among Native Americans is a belief that </w:t>
      </w:r>
      <w:r w:rsidR="00B7573D">
        <w:t>God</w:t>
      </w:r>
      <w:r>
        <w:t xml:space="preserve"> created the earth</w:t>
      </w:r>
      <w:r w:rsidR="003E2CF0">
        <w:t>, while, interestingly,</w:t>
      </w:r>
      <w:r>
        <w:t xml:space="preserve"> this </w:t>
      </w:r>
      <w:r w:rsidR="004C7272">
        <w:t>relationship was reversed among</w:t>
      </w:r>
      <w:r>
        <w:t xml:space="preserve"> ranchers. </w:t>
      </w:r>
      <w:r w:rsidR="003E2CF0">
        <w:t xml:space="preserve">Finally, </w:t>
      </w:r>
      <w:r>
        <w:t>those with lower socio-economic status rely much more on interpersonal sources for science and health</w:t>
      </w:r>
      <w:r w:rsidR="00A87A5D">
        <w:t>-</w:t>
      </w:r>
      <w:r>
        <w:t>related information, thus accentuating the need to incorporate social network measures that isolate the likely sources</w:t>
      </w:r>
      <w:r w:rsidR="00A87A5D">
        <w:t xml:space="preserve"> </w:t>
      </w:r>
      <w:r w:rsidR="00B36EB4">
        <w:t>(</w:t>
      </w:r>
      <w:proofErr w:type="spellStart"/>
      <w:r w:rsidR="00B36EB4">
        <w:t>Kontos</w:t>
      </w:r>
      <w:proofErr w:type="spellEnd"/>
      <w:r w:rsidR="00B36EB4">
        <w:t xml:space="preserve"> et al. 2011).</w:t>
      </w:r>
      <w:r w:rsidR="00CD33FE">
        <w:t xml:space="preserve"> Figuring out these various implementation challenges can be facilitated with partnerships, the topic to which we now turn.</w:t>
      </w:r>
    </w:p>
    <w:p w14:paraId="788E7340" w14:textId="597D065E" w:rsidR="00454BEA" w:rsidRPr="00F465E8" w:rsidRDefault="00454BEA" w:rsidP="001E73CF">
      <w:pPr>
        <w:spacing w:line="480" w:lineRule="auto"/>
        <w:rPr>
          <w:b/>
          <w:bCs/>
        </w:rPr>
      </w:pPr>
      <w:r>
        <w:rPr>
          <w:b/>
          <w:bCs/>
        </w:rPr>
        <w:lastRenderedPageBreak/>
        <w:t>Partnerships</w:t>
      </w:r>
    </w:p>
    <w:bookmarkEnd w:id="1"/>
    <w:p w14:paraId="52211ABE" w14:textId="21DBBE15" w:rsidR="001671C6" w:rsidRDefault="00454BEA" w:rsidP="007374DB">
      <w:pPr>
        <w:spacing w:line="480" w:lineRule="auto"/>
        <w:ind w:firstLine="720"/>
      </w:pPr>
      <w:r>
        <w:t>C</w:t>
      </w:r>
      <w:r w:rsidR="00CB3C52">
        <w:t xml:space="preserve">ollecting data from targeted groups introduces </w:t>
      </w:r>
      <w:r>
        <w:t xml:space="preserve">sampling and </w:t>
      </w:r>
      <w:r w:rsidR="00CB3C52">
        <w:t>administrative considerations that differ from general population surveys.</w:t>
      </w:r>
      <w:r w:rsidR="007374DB">
        <w:t xml:space="preserve"> Most data sets on scientific topics are designed and implemented by researchers/scholars. For example, a team of professors and survey experts, supported by an academic board of overseers, lead the Science Module on the General Social Survey. While this structure makes sense for many surveys, a science survey for targeted populations </w:t>
      </w:r>
      <w:r w:rsidR="00A87A5D">
        <w:t xml:space="preserve">should enlist the help of </w:t>
      </w:r>
      <w:r w:rsidR="007374DB">
        <w:t xml:space="preserve">individuals who </w:t>
      </w:r>
      <w:r w:rsidR="001671C6">
        <w:t xml:space="preserve">are a part of, </w:t>
      </w:r>
      <w:r w:rsidR="007374DB">
        <w:t>represent</w:t>
      </w:r>
      <w:r w:rsidR="001671C6">
        <w:t>,</w:t>
      </w:r>
      <w:r w:rsidR="007374DB">
        <w:t xml:space="preserve"> and/or work with the targeted communities</w:t>
      </w:r>
      <w:r w:rsidR="00A87A5D">
        <w:t xml:space="preserve"> to ensure that survey questions are understood by respondents</w:t>
      </w:r>
      <w:r w:rsidR="003477D7">
        <w:t xml:space="preserve"> and include response options </w:t>
      </w:r>
      <w:r w:rsidR="00CD33FE">
        <w:t xml:space="preserve">that </w:t>
      </w:r>
      <w:r w:rsidR="00EA5E8C" w:rsidRPr="00BF3287">
        <w:t>accurately</w:t>
      </w:r>
      <w:r w:rsidR="00EA5E8C">
        <w:t xml:space="preserve"> </w:t>
      </w:r>
      <w:r w:rsidR="00CD33FE">
        <w:t>capture</w:t>
      </w:r>
      <w:r w:rsidR="003477D7">
        <w:t xml:space="preserve"> attitudes and behaviors</w:t>
      </w:r>
      <w:r w:rsidR="007374DB">
        <w:t xml:space="preserve">. </w:t>
      </w:r>
      <w:r w:rsidR="001671C6">
        <w:t>Community members and/or b</w:t>
      </w:r>
      <w:r w:rsidR="007374DB">
        <w:t xml:space="preserve">oundary-spanning organizations can provide appropriate context and insight into relevant constructs. </w:t>
      </w:r>
      <w:r w:rsidR="00113B08">
        <w:t>R</w:t>
      </w:r>
      <w:r w:rsidR="007374DB">
        <w:t>esearch-practitioner</w:t>
      </w:r>
      <w:r w:rsidR="001671C6">
        <w:t>-community</w:t>
      </w:r>
      <w:r w:rsidR="007374DB">
        <w:t xml:space="preserve"> partnerships can be leveraged, not just for data collection (e.g., to establish legitimacy), but also for </w:t>
      </w:r>
      <w:r w:rsidR="00113B08">
        <w:t xml:space="preserve">providing data </w:t>
      </w:r>
      <w:r w:rsidR="007374DB">
        <w:t>to researchers, librarians, museums, authors, health care workers</w:t>
      </w:r>
      <w:r w:rsidR="00113B08">
        <w:t>,</w:t>
      </w:r>
      <w:r w:rsidR="00E727BA">
        <w:t xml:space="preserve"> and</w:t>
      </w:r>
      <w:r w:rsidR="001671C6">
        <w:t xml:space="preserve"> the communities themselves</w:t>
      </w:r>
      <w:r w:rsidR="00F465E8">
        <w:t xml:space="preserve">. </w:t>
      </w:r>
      <w:r w:rsidR="007374DB">
        <w:t xml:space="preserve">This type of data collection partnership re-defines common roles that typically involve researchers </w:t>
      </w:r>
      <w:r w:rsidR="00E727BA">
        <w:t xml:space="preserve">who </w:t>
      </w:r>
      <w:r w:rsidR="007374DB">
        <w:t>collect and analyze data, and boundary-spanners</w:t>
      </w:r>
      <w:r w:rsidR="00E727BA">
        <w:t xml:space="preserve"> who</w:t>
      </w:r>
      <w:r w:rsidR="007374DB">
        <w:t xml:space="preserve"> communicat</w:t>
      </w:r>
      <w:r w:rsidR="00E727BA">
        <w:t>e</w:t>
      </w:r>
      <w:r w:rsidR="007374DB">
        <w:t>, translat</w:t>
      </w:r>
      <w:r w:rsidR="00E727BA">
        <w:t>e</w:t>
      </w:r>
      <w:r w:rsidR="007374DB">
        <w:t>, and mediat</w:t>
      </w:r>
      <w:r w:rsidR="00E727BA">
        <w:t>e to target populations</w:t>
      </w:r>
      <w:r w:rsidR="007374DB">
        <w:t xml:space="preserve"> (Safford et al. 2017). Here, instead, the design and implementation would bring together these groups</w:t>
      </w:r>
      <w:r w:rsidR="001671C6">
        <w:t xml:space="preserve"> into partnerships</w:t>
      </w:r>
      <w:r w:rsidR="007374DB">
        <w:t xml:space="preserve"> to maximize the impact and usage of a </w:t>
      </w:r>
      <w:r w:rsidR="007428D3">
        <w:t xml:space="preserve">targeted population </w:t>
      </w:r>
      <w:r w:rsidR="007374DB">
        <w:t>science data set.</w:t>
      </w:r>
      <w:r w:rsidR="001671C6">
        <w:t xml:space="preserve"> </w:t>
      </w:r>
    </w:p>
    <w:p w14:paraId="2E82E454" w14:textId="291C06F9" w:rsidR="00FA4DE0" w:rsidRDefault="00C7401E" w:rsidP="007374DB">
      <w:pPr>
        <w:spacing w:line="480" w:lineRule="auto"/>
        <w:ind w:firstLine="720"/>
      </w:pPr>
      <w:r>
        <w:t>Collaborations</w:t>
      </w:r>
      <w:r w:rsidR="001671C6">
        <w:t xml:space="preserve"> also can inform the very questions that researchers ask in the first place. For instance, in the case of Song et al.’s</w:t>
      </w:r>
      <w:r w:rsidR="00E727BA">
        <w:t xml:space="preserve"> (2020)</w:t>
      </w:r>
      <w:r w:rsidR="001671C6">
        <w:t xml:space="preserve"> study, once they learned that low-income populations highlight access to education as an environmental problem, </w:t>
      </w:r>
      <w:r w:rsidR="00E727BA">
        <w:t xml:space="preserve">they and other researchers could </w:t>
      </w:r>
      <w:r w:rsidR="001671C6">
        <w:t>explore educational hurdles.</w:t>
      </w:r>
      <w:r w:rsidR="00FA4DE0">
        <w:t xml:space="preserve"> Schuldt et al.’s paper in this volume highlights </w:t>
      </w:r>
      <w:r w:rsidR="00E727BA">
        <w:t xml:space="preserve">the </w:t>
      </w:r>
      <w:r w:rsidR="00E727BA">
        <w:lastRenderedPageBreak/>
        <w:t xml:space="preserve">prevalence of </w:t>
      </w:r>
      <w:r w:rsidR="00FA4DE0">
        <w:t>social misinformation</w:t>
      </w:r>
      <w:r w:rsidR="00B91BD7">
        <w:t>,</w:t>
      </w:r>
      <w:r w:rsidR="00FA4DE0">
        <w:t xml:space="preserve"> </w:t>
      </w:r>
      <w:r w:rsidR="00E727BA">
        <w:t>where people</w:t>
      </w:r>
      <w:r w:rsidR="00FA4DE0">
        <w:t xml:space="preserve"> underestimat</w:t>
      </w:r>
      <w:r w:rsidR="00E727BA">
        <w:t>e</w:t>
      </w:r>
      <w:r w:rsidR="00FA4DE0">
        <w:t xml:space="preserve"> a community’s concern about a problem</w:t>
      </w:r>
      <w:r w:rsidR="00E727BA">
        <w:t xml:space="preserve">. This can </w:t>
      </w:r>
      <w:r w:rsidR="00FA4DE0">
        <w:t xml:space="preserve">occur among researchers but be corrected via partnerships. </w:t>
      </w:r>
    </w:p>
    <w:p w14:paraId="7FD6EF20" w14:textId="4C4B59F8" w:rsidR="007374DB" w:rsidRDefault="001671C6" w:rsidP="007374DB">
      <w:pPr>
        <w:spacing w:line="480" w:lineRule="auto"/>
        <w:ind w:firstLine="720"/>
      </w:pPr>
      <w:r>
        <w:t xml:space="preserve"> Of course, as </w:t>
      </w:r>
      <w:r w:rsidR="00FA4DE0">
        <w:t>detailed in Viswanath et al.’s paper in this volume, developing community partnerships entail</w:t>
      </w:r>
      <w:r w:rsidR="00E727BA">
        <w:t>s</w:t>
      </w:r>
      <w:r w:rsidR="00FA4DE0">
        <w:t xml:space="preserve"> substantial over-time work</w:t>
      </w:r>
      <w:r w:rsidR="00B91BD7">
        <w:t>,</w:t>
      </w:r>
      <w:r w:rsidR="00FA4DE0">
        <w:t xml:space="preserve"> </w:t>
      </w:r>
      <w:r w:rsidR="00B91BD7">
        <w:t>so</w:t>
      </w:r>
      <w:r w:rsidR="00FA4DE0">
        <w:t xml:space="preserve"> scholars must calibrate the resource and opportunity costs involved. This is not to dissuade scholars from doing so – quite the opposite</w:t>
      </w:r>
      <w:r w:rsidR="00B91BD7">
        <w:t>, as</w:t>
      </w:r>
      <w:r w:rsidR="00FA4DE0">
        <w:t xml:space="preserve"> we believe such investments produce vital data, advance </w:t>
      </w:r>
      <w:r w:rsidR="00F14803">
        <w:t>science,</w:t>
      </w:r>
      <w:r w:rsidR="00FA4DE0">
        <w:t xml:space="preserve"> and </w:t>
      </w:r>
      <w:r w:rsidR="00E727BA">
        <w:t>blend</w:t>
      </w:r>
      <w:r w:rsidR="00FA4DE0">
        <w:t xml:space="preserve"> traditional science </w:t>
      </w:r>
      <w:r w:rsidR="00E727BA">
        <w:t xml:space="preserve">with </w:t>
      </w:r>
      <w:r w:rsidR="00FA4DE0">
        <w:t xml:space="preserve">alternative ways of knowing (see </w:t>
      </w:r>
      <w:proofErr w:type="spellStart"/>
      <w:r w:rsidR="00FA4DE0">
        <w:t>Suiseeya’s</w:t>
      </w:r>
      <w:proofErr w:type="spellEnd"/>
      <w:r w:rsidR="00FA4DE0">
        <w:t xml:space="preserve"> paper in this volume). But one should not underestimate the resources needed</w:t>
      </w:r>
      <w:r w:rsidR="00C7401E">
        <w:t xml:space="preserve"> and the trust-building involved</w:t>
      </w:r>
      <w:r w:rsidR="00FA4DE0">
        <w:t>.</w:t>
      </w:r>
      <w:r w:rsidR="00214628">
        <w:rPr>
          <w:rStyle w:val="EndnoteReference"/>
        </w:rPr>
        <w:endnoteReference w:id="5"/>
      </w:r>
      <w:r w:rsidR="00214628">
        <w:t xml:space="preserve"> </w:t>
      </w:r>
      <w:r w:rsidR="00984017">
        <w:t xml:space="preserve">Fortunately, there is increasing availability of guidance on how to develop relationships to the mutual benefit of researchers, practitioners, and communities (e.g., </w:t>
      </w:r>
      <w:r w:rsidR="000F4E71">
        <w:t>Levine 2021</w:t>
      </w:r>
      <w:r w:rsidR="00F465E8">
        <w:t>; Peterman et al. n.d.</w:t>
      </w:r>
      <w:r w:rsidR="000F4E71">
        <w:t xml:space="preserve">). While it is beyond </w:t>
      </w:r>
      <w:r w:rsidR="006C094E">
        <w:t>the scope of the present article</w:t>
      </w:r>
      <w:r w:rsidR="000F4E71">
        <w:t xml:space="preserve"> to discuss the concomitant challenge of aligning </w:t>
      </w:r>
      <w:r w:rsidR="00E727BA">
        <w:t xml:space="preserve">academic </w:t>
      </w:r>
      <w:r w:rsidR="000F4E71">
        <w:t>incentives (e.g., tenure/promotion) for pursu</w:t>
      </w:r>
      <w:r w:rsidR="00E727BA">
        <w:t>ing</w:t>
      </w:r>
      <w:r w:rsidR="000F4E71">
        <w:t xml:space="preserve"> such work, one </w:t>
      </w:r>
      <w:r w:rsidR="006C094E">
        <w:t xml:space="preserve">positive </w:t>
      </w:r>
      <w:r w:rsidR="000F4E71">
        <w:t>step would come from diversifying institutional leadership to represent and reflect the experiences of more diverse populations.</w:t>
      </w:r>
      <w:r w:rsidR="001D2012">
        <w:t xml:space="preserve"> A</w:t>
      </w:r>
      <w:r w:rsidR="006C094E">
        <w:t>nother</w:t>
      </w:r>
      <w:r w:rsidR="001D2012">
        <w:t xml:space="preserve"> </w:t>
      </w:r>
      <w:r w:rsidR="006C094E">
        <w:t xml:space="preserve">fruitful </w:t>
      </w:r>
      <w:r w:rsidR="001D2012">
        <w:t xml:space="preserve">step is for scholars who test interventions to provide relevant information in their work; indeed, </w:t>
      </w:r>
      <w:proofErr w:type="spellStart"/>
      <w:r w:rsidR="001D2012">
        <w:t>Premachandra</w:t>
      </w:r>
      <w:proofErr w:type="spellEnd"/>
      <w:r w:rsidR="001D2012">
        <w:t xml:space="preserve"> and Lewis (2021) find that more than 35</w:t>
      </w:r>
      <w:r w:rsidR="009B0ED9">
        <w:t xml:space="preserve"> percent</w:t>
      </w:r>
      <w:r w:rsidR="001D2012">
        <w:t xml:space="preserve"> of psychological intervention papers do not provide the necessary information</w:t>
      </w:r>
      <w:r w:rsidR="00E727BA">
        <w:t xml:space="preserve"> for carrying out the interventions</w:t>
      </w:r>
      <w:r w:rsidR="001D2012">
        <w:t>.</w:t>
      </w:r>
    </w:p>
    <w:p w14:paraId="33EE17B6" w14:textId="1A13DB9E" w:rsidR="00E727BA" w:rsidRDefault="00E727BA" w:rsidP="007374DB">
      <w:pPr>
        <w:spacing w:line="480" w:lineRule="auto"/>
        <w:ind w:firstLine="720"/>
      </w:pPr>
      <w:r>
        <w:t xml:space="preserve">In sum, there are multiple benefits from forming partnerships with bridging organizations and/or communities. It facilitates access and improves science. </w:t>
      </w:r>
      <w:r w:rsidR="00D34EF9">
        <w:t>Although i</w:t>
      </w:r>
      <w:r>
        <w:t>t involve</w:t>
      </w:r>
      <w:r w:rsidR="00D34EF9">
        <w:t>s</w:t>
      </w:r>
      <w:r>
        <w:t xml:space="preserve"> substantial undertakings</w:t>
      </w:r>
      <w:r w:rsidR="00D34EF9">
        <w:t xml:space="preserve">, </w:t>
      </w:r>
      <w:r>
        <w:t xml:space="preserve">there is reason for optimism </w:t>
      </w:r>
      <w:r w:rsidR="00146738">
        <w:t>given the institutionalization of mechanisms for such engagement (e.g., Levine 2021).</w:t>
      </w:r>
    </w:p>
    <w:p w14:paraId="567E42D8" w14:textId="5B4BF4AC" w:rsidR="001E73CF" w:rsidRDefault="009A5014" w:rsidP="009A5014">
      <w:pPr>
        <w:spacing w:line="480" w:lineRule="auto"/>
        <w:rPr>
          <w:b/>
          <w:bCs/>
        </w:rPr>
      </w:pPr>
      <w:r>
        <w:rPr>
          <w:b/>
          <w:bCs/>
        </w:rPr>
        <w:t>Conclusion</w:t>
      </w:r>
    </w:p>
    <w:p w14:paraId="108BE13F" w14:textId="4672176F" w:rsidR="009520FF" w:rsidRDefault="009A5014" w:rsidP="00CF2768">
      <w:pPr>
        <w:spacing w:line="480" w:lineRule="auto"/>
        <w:rPr>
          <w:color w:val="000000"/>
        </w:rPr>
      </w:pPr>
      <w:r>
        <w:lastRenderedPageBreak/>
        <w:tab/>
        <w:t xml:space="preserve">Science can be thought of as a public good, and as such, </w:t>
      </w:r>
      <w:r w:rsidR="007428D3">
        <w:t>inequities</w:t>
      </w:r>
      <w:r>
        <w:t xml:space="preserve"> in access to science is inherently unjust. </w:t>
      </w:r>
      <w:r w:rsidR="00C77C72">
        <w:t>Dietz (2013</w:t>
      </w:r>
      <w:r w:rsidR="00820DBE">
        <w:t>,</w:t>
      </w:r>
      <w:r w:rsidR="00C77C72">
        <w:t xml:space="preserve"> 14082) </w:t>
      </w:r>
      <w:r>
        <w:t>highlights the benefits of science:</w:t>
      </w:r>
      <w:r w:rsidR="00C77C72">
        <w:t xml:space="preserve"> “a good decision must be factually competent. The beliefs used in making decisions should accurately reflect our understanding of how the world works. Here, the role of science is obvious: Science is our best guide to developing factual understandings.” Effective public engagement</w:t>
      </w:r>
      <w:r>
        <w:t xml:space="preserve"> with science </w:t>
      </w:r>
      <w:r w:rsidR="00C77C72">
        <w:t>requires a strategic approach that targets opportunity to engage, capacity to engage, and motivation to engage (Michie</w:t>
      </w:r>
      <w:r w:rsidR="00820DBE">
        <w:t xml:space="preserve">, </w:t>
      </w:r>
      <w:r w:rsidR="00820DBE" w:rsidRPr="007333CF">
        <w:t xml:space="preserve">van </w:t>
      </w:r>
      <w:proofErr w:type="spellStart"/>
      <w:r w:rsidR="00820DBE" w:rsidRPr="007333CF">
        <w:t>Stralen</w:t>
      </w:r>
      <w:proofErr w:type="spellEnd"/>
      <w:r w:rsidR="00820DBE">
        <w:t>, and West</w:t>
      </w:r>
      <w:r w:rsidR="00C77C72">
        <w:t xml:space="preserve"> 2011). </w:t>
      </w:r>
      <w:r w:rsidR="000F2BEE">
        <w:rPr>
          <w:color w:val="000000"/>
        </w:rPr>
        <w:t xml:space="preserve">Therefore, to </w:t>
      </w:r>
      <w:r w:rsidR="00C77C72">
        <w:rPr>
          <w:color w:val="000000"/>
        </w:rPr>
        <w:t xml:space="preserve">ensure </w:t>
      </w:r>
      <w:r w:rsidR="000F2BEE">
        <w:rPr>
          <w:color w:val="000000"/>
        </w:rPr>
        <w:t xml:space="preserve">the engagement of </w:t>
      </w:r>
      <w:r w:rsidR="00C77C72">
        <w:rPr>
          <w:color w:val="000000"/>
        </w:rPr>
        <w:t>diverse audiences</w:t>
      </w:r>
      <w:r w:rsidR="000F2BEE">
        <w:rPr>
          <w:color w:val="000000"/>
        </w:rPr>
        <w:t>, w</w:t>
      </w:r>
      <w:r w:rsidR="00C77C72">
        <w:rPr>
          <w:color w:val="000000"/>
        </w:rPr>
        <w:t>e must collect</w:t>
      </w:r>
      <w:r w:rsidR="000F2BEE">
        <w:rPr>
          <w:color w:val="000000"/>
        </w:rPr>
        <w:t xml:space="preserve"> </w:t>
      </w:r>
      <w:r w:rsidR="00C77C72">
        <w:rPr>
          <w:color w:val="000000"/>
        </w:rPr>
        <w:t xml:space="preserve">data </w:t>
      </w:r>
      <w:r w:rsidR="000F2BEE">
        <w:rPr>
          <w:color w:val="000000"/>
        </w:rPr>
        <w:t xml:space="preserve">on the </w:t>
      </w:r>
      <w:r w:rsidR="00C77C72">
        <w:rPr>
          <w:color w:val="000000"/>
        </w:rPr>
        <w:t>opportunities (e.g., access), capacity (e.g., science literacy), and motivation (e.g., expectations of science)</w:t>
      </w:r>
      <w:r w:rsidR="000F2BEE">
        <w:rPr>
          <w:color w:val="000000"/>
        </w:rPr>
        <w:t xml:space="preserve"> of these groups</w:t>
      </w:r>
      <w:r w:rsidR="00C77C72">
        <w:rPr>
          <w:color w:val="000000"/>
        </w:rPr>
        <w:t xml:space="preserve">. Having these data will allow us, as citizens, </w:t>
      </w:r>
      <w:r w:rsidR="00C77C72">
        <w:t xml:space="preserve">practitioners, researchers, </w:t>
      </w:r>
      <w:r w:rsidR="00C77C72">
        <w:rPr>
          <w:color w:val="000000"/>
        </w:rPr>
        <w:t xml:space="preserve">policymakers, and advocates, to make sound decisions about where to invest and how best to improve engagement among diverse segments of the population. </w:t>
      </w:r>
      <w:r w:rsidR="00610A2F">
        <w:rPr>
          <w:color w:val="000000"/>
        </w:rPr>
        <w:t>Such undertakings</w:t>
      </w:r>
      <w:r w:rsidR="00146738">
        <w:rPr>
          <w:color w:val="000000"/>
        </w:rPr>
        <w:t xml:space="preserve"> also will advance science itself</w:t>
      </w:r>
      <w:r w:rsidR="00B91BD7">
        <w:rPr>
          <w:color w:val="000000"/>
        </w:rPr>
        <w:t>,</w:t>
      </w:r>
      <w:r w:rsidR="00146738">
        <w:rPr>
          <w:color w:val="000000"/>
        </w:rPr>
        <w:t xml:space="preserve"> as</w:t>
      </w:r>
      <w:r w:rsidR="00BF3287">
        <w:rPr>
          <w:color w:val="000000"/>
        </w:rPr>
        <w:t xml:space="preserve"> they</w:t>
      </w:r>
      <w:r w:rsidR="00146738">
        <w:rPr>
          <w:color w:val="000000"/>
        </w:rPr>
        <w:t xml:space="preserve"> introduce new knowledge and </w:t>
      </w:r>
      <w:r w:rsidR="00E50863">
        <w:rPr>
          <w:color w:val="000000"/>
        </w:rPr>
        <w:t xml:space="preserve">generate </w:t>
      </w:r>
      <w:r w:rsidR="00146738">
        <w:rPr>
          <w:color w:val="000000"/>
        </w:rPr>
        <w:t>novel questions.</w:t>
      </w:r>
    </w:p>
    <w:p w14:paraId="5C3F04F8" w14:textId="489A9091" w:rsidR="00386387" w:rsidRDefault="00386387">
      <w:pPr>
        <w:rPr>
          <w:color w:val="000000"/>
        </w:rPr>
      </w:pPr>
      <w:r>
        <w:rPr>
          <w:color w:val="000000"/>
        </w:rPr>
        <w:br w:type="page"/>
      </w:r>
    </w:p>
    <w:p w14:paraId="00000073" w14:textId="2CA863BF" w:rsidR="007734B8" w:rsidRPr="007333CF" w:rsidRDefault="007374DB">
      <w:pPr>
        <w:spacing w:line="480" w:lineRule="auto"/>
        <w:rPr>
          <w:b/>
        </w:rPr>
      </w:pPr>
      <w:r w:rsidRPr="007333CF">
        <w:rPr>
          <w:b/>
        </w:rPr>
        <w:lastRenderedPageBreak/>
        <w:t>R</w:t>
      </w:r>
      <w:r w:rsidR="00C77C72" w:rsidRPr="007333CF">
        <w:rPr>
          <w:b/>
        </w:rPr>
        <w:t>eferences</w:t>
      </w:r>
    </w:p>
    <w:p w14:paraId="76778B00" w14:textId="1061B8F1" w:rsidR="00823BDF" w:rsidRPr="00EB66EE" w:rsidRDefault="00823BDF" w:rsidP="00EB66EE">
      <w:pPr>
        <w:spacing w:line="480" w:lineRule="auto"/>
        <w:ind w:left="720" w:hanging="720"/>
        <w:rPr>
          <w:color w:val="222222"/>
          <w:shd w:val="clear" w:color="auto" w:fill="FFFFFF"/>
        </w:rPr>
      </w:pPr>
      <w:bookmarkStart w:id="2" w:name="_1fob9te" w:colFirst="0" w:colLast="0"/>
      <w:bookmarkEnd w:id="2"/>
      <w:r w:rsidRPr="007333CF">
        <w:rPr>
          <w:color w:val="222222"/>
          <w:shd w:val="clear" w:color="auto" w:fill="FFFFFF"/>
        </w:rPr>
        <w:t xml:space="preserve">Abrams, Eleanor, and Michael Middleton. 2017. Towards </w:t>
      </w:r>
      <w:r w:rsidR="00176F46">
        <w:rPr>
          <w:color w:val="222222"/>
          <w:shd w:val="clear" w:color="auto" w:fill="FFFFFF"/>
        </w:rPr>
        <w:t>m</w:t>
      </w:r>
      <w:r w:rsidRPr="007333CF">
        <w:rPr>
          <w:color w:val="222222"/>
          <w:shd w:val="clear" w:color="auto" w:fill="FFFFFF"/>
        </w:rPr>
        <w:t xml:space="preserve">ultidimensional </w:t>
      </w:r>
      <w:r w:rsidR="00176F46">
        <w:rPr>
          <w:color w:val="222222"/>
          <w:shd w:val="clear" w:color="auto" w:fill="FFFFFF"/>
        </w:rPr>
        <w:t>a</w:t>
      </w:r>
      <w:r w:rsidRPr="007333CF">
        <w:rPr>
          <w:color w:val="222222"/>
          <w:shd w:val="clear" w:color="auto" w:fill="FFFFFF"/>
        </w:rPr>
        <w:t xml:space="preserve">pproaches to </w:t>
      </w:r>
      <w:r w:rsidR="00176F46">
        <w:rPr>
          <w:color w:val="222222"/>
          <w:shd w:val="clear" w:color="auto" w:fill="FFFFFF"/>
        </w:rPr>
        <w:t>r</w:t>
      </w:r>
      <w:r w:rsidRPr="007333CF">
        <w:rPr>
          <w:color w:val="222222"/>
          <w:shd w:val="clear" w:color="auto" w:fill="FFFFFF"/>
        </w:rPr>
        <w:t xml:space="preserve">esearch on </w:t>
      </w:r>
      <w:r w:rsidR="00176F46">
        <w:rPr>
          <w:color w:val="222222"/>
          <w:shd w:val="clear" w:color="auto" w:fill="FFFFFF"/>
        </w:rPr>
        <w:t>r</w:t>
      </w:r>
      <w:r w:rsidRPr="007333CF">
        <w:rPr>
          <w:color w:val="222222"/>
          <w:shd w:val="clear" w:color="auto" w:fill="FFFFFF"/>
        </w:rPr>
        <w:t xml:space="preserve">ural </w:t>
      </w:r>
      <w:r w:rsidR="00176F46">
        <w:rPr>
          <w:color w:val="222222"/>
          <w:shd w:val="clear" w:color="auto" w:fill="FFFFFF"/>
        </w:rPr>
        <w:t>s</w:t>
      </w:r>
      <w:r w:rsidRPr="007333CF">
        <w:rPr>
          <w:color w:val="222222"/>
          <w:shd w:val="clear" w:color="auto" w:fill="FFFFFF"/>
        </w:rPr>
        <w:t xml:space="preserve">cience </w:t>
      </w:r>
      <w:r w:rsidR="00176F46">
        <w:rPr>
          <w:color w:val="222222"/>
          <w:shd w:val="clear" w:color="auto" w:fill="FFFFFF"/>
        </w:rPr>
        <w:t>e</w:t>
      </w:r>
      <w:r w:rsidRPr="007333CF">
        <w:rPr>
          <w:color w:val="222222"/>
          <w:shd w:val="clear" w:color="auto" w:fill="FFFFFF"/>
        </w:rPr>
        <w:t>ducation. </w:t>
      </w:r>
      <w:r w:rsidRPr="007333CF">
        <w:rPr>
          <w:i/>
          <w:iCs/>
          <w:color w:val="222222"/>
          <w:shd w:val="clear" w:color="auto" w:fill="FFFFFF"/>
        </w:rPr>
        <w:t>Cultural Studies of Science Education</w:t>
      </w:r>
      <w:r w:rsidRPr="007333CF">
        <w:rPr>
          <w:color w:val="222222"/>
          <w:shd w:val="clear" w:color="auto" w:fill="FFFFFF"/>
        </w:rPr>
        <w:t> 12(1): 167-176.</w:t>
      </w:r>
    </w:p>
    <w:p w14:paraId="00000078" w14:textId="1000B9BD" w:rsidR="007734B8" w:rsidRPr="007333CF" w:rsidRDefault="00C77C72" w:rsidP="00EB66EE">
      <w:pPr>
        <w:spacing w:line="480" w:lineRule="auto"/>
        <w:ind w:left="720" w:hanging="720"/>
        <w:rPr>
          <w:highlight w:val="white"/>
        </w:rPr>
      </w:pPr>
      <w:r w:rsidRPr="007333CF">
        <w:rPr>
          <w:highlight w:val="white"/>
        </w:rPr>
        <w:t xml:space="preserve">Allum, Nick, John Besley, Louis Gomez, and Ian Brunton-Smith. 2018. Disparities in </w:t>
      </w:r>
      <w:r w:rsidR="00176F46">
        <w:rPr>
          <w:highlight w:val="white"/>
        </w:rPr>
        <w:t>s</w:t>
      </w:r>
      <w:r w:rsidRPr="007333CF">
        <w:rPr>
          <w:highlight w:val="white"/>
        </w:rPr>
        <w:t xml:space="preserve">cience </w:t>
      </w:r>
      <w:r w:rsidR="00176F46">
        <w:rPr>
          <w:highlight w:val="white"/>
        </w:rPr>
        <w:t>l</w:t>
      </w:r>
      <w:r w:rsidRPr="007333CF">
        <w:rPr>
          <w:highlight w:val="white"/>
        </w:rPr>
        <w:t xml:space="preserve">iteracy. </w:t>
      </w:r>
      <w:r w:rsidRPr="007333CF">
        <w:rPr>
          <w:i/>
          <w:highlight w:val="white"/>
        </w:rPr>
        <w:t>Science</w:t>
      </w:r>
      <w:r w:rsidRPr="007333CF">
        <w:rPr>
          <w:highlight w:val="white"/>
        </w:rPr>
        <w:t xml:space="preserve"> 360(6391): 861-862.</w:t>
      </w:r>
    </w:p>
    <w:p w14:paraId="1D85A9A8" w14:textId="06E24661" w:rsidR="00E936B8" w:rsidRPr="00EB66EE" w:rsidRDefault="00E936B8" w:rsidP="00EB66EE">
      <w:pPr>
        <w:spacing w:line="480" w:lineRule="auto"/>
        <w:ind w:left="720" w:hanging="720"/>
        <w:rPr>
          <w:color w:val="222222"/>
          <w:shd w:val="clear" w:color="auto" w:fill="FFFFFF"/>
        </w:rPr>
      </w:pPr>
      <w:proofErr w:type="spellStart"/>
      <w:r w:rsidRPr="007333CF">
        <w:rPr>
          <w:color w:val="222222"/>
          <w:shd w:val="clear" w:color="auto" w:fill="FFFFFF"/>
        </w:rPr>
        <w:t>Andrasfay</w:t>
      </w:r>
      <w:proofErr w:type="spellEnd"/>
      <w:r w:rsidRPr="007333CF">
        <w:rPr>
          <w:color w:val="222222"/>
          <w:shd w:val="clear" w:color="auto" w:fill="FFFFFF"/>
        </w:rPr>
        <w:t xml:space="preserve">, Theresa, and Noreen Goldman. 2021. Reductions </w:t>
      </w:r>
      <w:r w:rsidR="00496B26" w:rsidRPr="007333CF">
        <w:rPr>
          <w:color w:val="222222"/>
          <w:shd w:val="clear" w:color="auto" w:fill="FFFFFF"/>
        </w:rPr>
        <w:t xml:space="preserve">in 2020 </w:t>
      </w:r>
      <w:r w:rsidRPr="007333CF">
        <w:rPr>
          <w:color w:val="222222"/>
          <w:shd w:val="clear" w:color="auto" w:fill="FFFFFF"/>
        </w:rPr>
        <w:t xml:space="preserve">US </w:t>
      </w:r>
      <w:r w:rsidR="00176F46" w:rsidRPr="00176F46">
        <w:rPr>
          <w:shd w:val="clear" w:color="auto" w:fill="FFFFFF"/>
        </w:rPr>
        <w:t xml:space="preserve">life expectancy due to </w:t>
      </w:r>
      <w:r w:rsidR="00176F46">
        <w:rPr>
          <w:shd w:val="clear" w:color="auto" w:fill="FFFFFF"/>
        </w:rPr>
        <w:t>COVID-19</w:t>
      </w:r>
      <w:r w:rsidR="00176F46" w:rsidRPr="00176F46">
        <w:rPr>
          <w:shd w:val="clear" w:color="auto" w:fill="FFFFFF"/>
        </w:rPr>
        <w:t xml:space="preserve"> and the disproportionate impact on the </w:t>
      </w:r>
      <w:r w:rsidR="00176F46">
        <w:rPr>
          <w:shd w:val="clear" w:color="auto" w:fill="FFFFFF"/>
        </w:rPr>
        <w:t>B</w:t>
      </w:r>
      <w:r w:rsidR="00176F46" w:rsidRPr="00176F46">
        <w:rPr>
          <w:shd w:val="clear" w:color="auto" w:fill="FFFFFF"/>
        </w:rPr>
        <w:t xml:space="preserve">lack and </w:t>
      </w:r>
      <w:r w:rsidR="00176F46">
        <w:rPr>
          <w:shd w:val="clear" w:color="auto" w:fill="FFFFFF"/>
        </w:rPr>
        <w:t>L</w:t>
      </w:r>
      <w:r w:rsidR="00176F46" w:rsidRPr="00176F46">
        <w:rPr>
          <w:shd w:val="clear" w:color="auto" w:fill="FFFFFF"/>
        </w:rPr>
        <w:t>atino populations</w:t>
      </w:r>
      <w:r w:rsidRPr="007333CF">
        <w:rPr>
          <w:color w:val="222222"/>
          <w:shd w:val="clear" w:color="auto" w:fill="FFFFFF"/>
        </w:rPr>
        <w:t>. </w:t>
      </w:r>
      <w:r w:rsidRPr="007333CF">
        <w:rPr>
          <w:i/>
          <w:iCs/>
          <w:color w:val="222222"/>
          <w:shd w:val="clear" w:color="auto" w:fill="FFFFFF"/>
        </w:rPr>
        <w:t>Proceedings of the National Academy of Sciences</w:t>
      </w:r>
      <w:r w:rsidRPr="007333CF">
        <w:rPr>
          <w:color w:val="222222"/>
          <w:shd w:val="clear" w:color="auto" w:fill="FFFFFF"/>
        </w:rPr>
        <w:t> 118</w:t>
      </w:r>
      <w:r w:rsidR="00496B26" w:rsidRPr="007333CF">
        <w:rPr>
          <w:color w:val="222222"/>
          <w:shd w:val="clear" w:color="auto" w:fill="FFFFFF"/>
        </w:rPr>
        <w:t>(</w:t>
      </w:r>
      <w:r w:rsidRPr="007333CF">
        <w:rPr>
          <w:color w:val="222222"/>
          <w:shd w:val="clear" w:color="auto" w:fill="FFFFFF"/>
        </w:rPr>
        <w:t>5</w:t>
      </w:r>
      <w:r w:rsidR="00496B26" w:rsidRPr="007333CF">
        <w:rPr>
          <w:color w:val="222222"/>
          <w:shd w:val="clear" w:color="auto" w:fill="FFFFFF"/>
        </w:rPr>
        <w:t>): 1-16.</w:t>
      </w:r>
    </w:p>
    <w:p w14:paraId="768663DB" w14:textId="70D80620" w:rsidR="00496B26" w:rsidRPr="007333CF" w:rsidRDefault="00496B26" w:rsidP="000215BF">
      <w:pPr>
        <w:spacing w:line="480" w:lineRule="auto"/>
        <w:ind w:left="720" w:hanging="720"/>
        <w:rPr>
          <w:highlight w:val="white"/>
        </w:rPr>
      </w:pPr>
      <w:proofErr w:type="spellStart"/>
      <w:r w:rsidRPr="007333CF">
        <w:rPr>
          <w:color w:val="222222"/>
          <w:shd w:val="clear" w:color="auto" w:fill="FFFFFF"/>
        </w:rPr>
        <w:t>Arcaya</w:t>
      </w:r>
      <w:proofErr w:type="spellEnd"/>
      <w:r w:rsidRPr="007333CF">
        <w:rPr>
          <w:color w:val="222222"/>
          <w:shd w:val="clear" w:color="auto" w:fill="FFFFFF"/>
        </w:rPr>
        <w:t xml:space="preserve">, Mariana C., and José F. Figueroa. 2017. Emerging </w:t>
      </w:r>
      <w:r w:rsidR="00176F46" w:rsidRPr="007333CF">
        <w:rPr>
          <w:color w:val="222222"/>
          <w:shd w:val="clear" w:color="auto" w:fill="FFFFFF"/>
        </w:rPr>
        <w:t xml:space="preserve">trends could exacerbate health inequities </w:t>
      </w:r>
      <w:r w:rsidRPr="007333CF">
        <w:rPr>
          <w:color w:val="222222"/>
          <w:shd w:val="clear" w:color="auto" w:fill="FFFFFF"/>
        </w:rPr>
        <w:t>in the United States. </w:t>
      </w:r>
      <w:r w:rsidRPr="007333CF">
        <w:rPr>
          <w:i/>
          <w:iCs/>
          <w:color w:val="222222"/>
          <w:shd w:val="clear" w:color="auto" w:fill="FFFFFF"/>
        </w:rPr>
        <w:t>Health Affairs</w:t>
      </w:r>
      <w:r w:rsidRPr="007333CF">
        <w:rPr>
          <w:color w:val="222222"/>
          <w:shd w:val="clear" w:color="auto" w:fill="FFFFFF"/>
        </w:rPr>
        <w:t> 36(6): 992-998.</w:t>
      </w:r>
    </w:p>
    <w:p w14:paraId="057B94B7" w14:textId="2A6FFE06" w:rsidR="00496B26" w:rsidRPr="007333CF" w:rsidRDefault="00496B26" w:rsidP="000215BF">
      <w:pPr>
        <w:spacing w:line="480" w:lineRule="auto"/>
        <w:ind w:left="720" w:hanging="720"/>
        <w:rPr>
          <w:highlight w:val="white"/>
        </w:rPr>
      </w:pPr>
      <w:r w:rsidRPr="007333CF">
        <w:rPr>
          <w:color w:val="222222"/>
          <w:shd w:val="clear" w:color="auto" w:fill="FFFFFF"/>
        </w:rPr>
        <w:t xml:space="preserve">Baker, Joseph O. 2012. Perceptions of </w:t>
      </w:r>
      <w:r w:rsidR="00176F46" w:rsidRPr="007333CF">
        <w:rPr>
          <w:color w:val="222222"/>
          <w:shd w:val="clear" w:color="auto" w:fill="FFFFFF"/>
        </w:rPr>
        <w:t xml:space="preserve">science and </w:t>
      </w:r>
      <w:r w:rsidR="00176F46">
        <w:rPr>
          <w:color w:val="222222"/>
          <w:shd w:val="clear" w:color="auto" w:fill="FFFFFF"/>
        </w:rPr>
        <w:t>A</w:t>
      </w:r>
      <w:r w:rsidR="00176F46" w:rsidRPr="007333CF">
        <w:rPr>
          <w:color w:val="222222"/>
          <w:shd w:val="clear" w:color="auto" w:fill="FFFFFF"/>
        </w:rPr>
        <w:t>merican secularism</w:t>
      </w:r>
      <w:r w:rsidRPr="007333CF">
        <w:rPr>
          <w:color w:val="222222"/>
          <w:shd w:val="clear" w:color="auto" w:fill="FFFFFF"/>
        </w:rPr>
        <w:t>. </w:t>
      </w:r>
      <w:r w:rsidRPr="007333CF">
        <w:rPr>
          <w:i/>
          <w:iCs/>
          <w:color w:val="222222"/>
          <w:shd w:val="clear" w:color="auto" w:fill="FFFFFF"/>
        </w:rPr>
        <w:t>Sociological Perspectives</w:t>
      </w:r>
      <w:r w:rsidRPr="007333CF">
        <w:rPr>
          <w:color w:val="222222"/>
          <w:shd w:val="clear" w:color="auto" w:fill="FFFFFF"/>
        </w:rPr>
        <w:t> 55(1): 167-188.</w:t>
      </w:r>
    </w:p>
    <w:p w14:paraId="7AA2D03E" w14:textId="25710486" w:rsidR="00496B26" w:rsidRPr="007333CF" w:rsidRDefault="00496B26" w:rsidP="000215BF">
      <w:pPr>
        <w:spacing w:line="480" w:lineRule="auto"/>
        <w:ind w:left="720" w:hanging="720"/>
        <w:rPr>
          <w:highlight w:val="white"/>
        </w:rPr>
      </w:pPr>
      <w:r w:rsidRPr="007333CF">
        <w:rPr>
          <w:color w:val="222222"/>
          <w:shd w:val="clear" w:color="auto" w:fill="FFFFFF"/>
        </w:rPr>
        <w:t xml:space="preserve">Ballew, Matthew T., Adam R. Pearson, Matthew H. Goldberg, Seth A. Rosenthal, and Anthony Leiserowitz. 2020. Does </w:t>
      </w:r>
      <w:r w:rsidR="00176F46" w:rsidRPr="007333CF">
        <w:rPr>
          <w:color w:val="222222"/>
          <w:shd w:val="clear" w:color="auto" w:fill="FFFFFF"/>
        </w:rPr>
        <w:t>socioeconomic status moderate the political divide on climate change</w:t>
      </w:r>
      <w:r w:rsidRPr="007333CF">
        <w:rPr>
          <w:color w:val="222222"/>
          <w:shd w:val="clear" w:color="auto" w:fill="FFFFFF"/>
        </w:rPr>
        <w:t xml:space="preserve">? The </w:t>
      </w:r>
      <w:r w:rsidR="00176F46" w:rsidRPr="007333CF">
        <w:rPr>
          <w:color w:val="222222"/>
          <w:shd w:val="clear" w:color="auto" w:fill="FFFFFF"/>
        </w:rPr>
        <w:t>roles of education, income, and individualism</w:t>
      </w:r>
      <w:r w:rsidRPr="007333CF">
        <w:rPr>
          <w:color w:val="222222"/>
          <w:shd w:val="clear" w:color="auto" w:fill="FFFFFF"/>
        </w:rPr>
        <w:t>. </w:t>
      </w:r>
      <w:r w:rsidRPr="007333CF">
        <w:rPr>
          <w:i/>
          <w:iCs/>
          <w:color w:val="222222"/>
          <w:shd w:val="clear" w:color="auto" w:fill="FFFFFF"/>
        </w:rPr>
        <w:t>Global Environmental Change</w:t>
      </w:r>
      <w:r w:rsidRPr="007333CF">
        <w:rPr>
          <w:color w:val="222222"/>
          <w:shd w:val="clear" w:color="auto" w:fill="FFFFFF"/>
        </w:rPr>
        <w:t> 60: 1-12.</w:t>
      </w:r>
    </w:p>
    <w:p w14:paraId="360B769B" w14:textId="7449F537" w:rsidR="006A10AD" w:rsidRPr="007333CF" w:rsidRDefault="006A10AD" w:rsidP="00EB66EE">
      <w:pPr>
        <w:spacing w:line="480" w:lineRule="auto"/>
        <w:ind w:left="720" w:hanging="720"/>
        <w:rPr>
          <w:color w:val="000000"/>
        </w:rPr>
      </w:pPr>
      <w:r w:rsidRPr="007333CF">
        <w:rPr>
          <w:color w:val="000000"/>
        </w:rPr>
        <w:t xml:space="preserve">Barreto, Matt and Karam Dana. 2019. Best </w:t>
      </w:r>
      <w:r w:rsidR="00176F46" w:rsidRPr="007333CF">
        <w:rPr>
          <w:color w:val="000000"/>
        </w:rPr>
        <w:t>practices for gathering public opinion data a</w:t>
      </w:r>
      <w:r w:rsidRPr="007333CF">
        <w:rPr>
          <w:color w:val="000000"/>
        </w:rPr>
        <w:t>mong Muslim Americans</w:t>
      </w:r>
      <w:r w:rsidRPr="007333CF">
        <w:rPr>
          <w:i/>
          <w:iCs/>
          <w:color w:val="000000"/>
        </w:rPr>
        <w:t>.</w:t>
      </w:r>
      <w:r w:rsidRPr="007333CF">
        <w:rPr>
          <w:color w:val="000000"/>
        </w:rPr>
        <w:t xml:space="preserve"> </w:t>
      </w:r>
      <w:r w:rsidR="002D153D" w:rsidRPr="007333CF">
        <w:rPr>
          <w:color w:val="000000"/>
        </w:rPr>
        <w:t>I</w:t>
      </w:r>
      <w:r w:rsidRPr="007333CF">
        <w:rPr>
          <w:color w:val="000000"/>
        </w:rPr>
        <w:t xml:space="preserve">n </w:t>
      </w:r>
      <w:r w:rsidRPr="007333CF">
        <w:rPr>
          <w:i/>
          <w:iCs/>
          <w:color w:val="000000"/>
        </w:rPr>
        <w:t xml:space="preserve">Understanding Muslim </w:t>
      </w:r>
      <w:r w:rsidR="00176F46" w:rsidRPr="007333CF">
        <w:rPr>
          <w:i/>
          <w:iCs/>
          <w:color w:val="000000"/>
        </w:rPr>
        <w:t xml:space="preserve">political life </w:t>
      </w:r>
      <w:r w:rsidRPr="007333CF">
        <w:rPr>
          <w:i/>
          <w:iCs/>
          <w:color w:val="000000"/>
        </w:rPr>
        <w:t xml:space="preserve">in America: Contested </w:t>
      </w:r>
      <w:r w:rsidR="00176F46" w:rsidRPr="007333CF">
        <w:rPr>
          <w:i/>
          <w:iCs/>
          <w:color w:val="000000"/>
        </w:rPr>
        <w:t>citizenship in the twenty-first century</w:t>
      </w:r>
      <w:r w:rsidR="002D153D" w:rsidRPr="007333CF">
        <w:rPr>
          <w:i/>
          <w:iCs/>
          <w:color w:val="000000"/>
        </w:rPr>
        <w:t xml:space="preserve">, </w:t>
      </w:r>
      <w:r w:rsidR="002D153D" w:rsidRPr="007333CF">
        <w:rPr>
          <w:color w:val="000000"/>
        </w:rPr>
        <w:t xml:space="preserve">eds. Brian </w:t>
      </w:r>
      <w:proofErr w:type="spellStart"/>
      <w:r w:rsidR="002D153D" w:rsidRPr="007333CF">
        <w:rPr>
          <w:color w:val="000000"/>
        </w:rPr>
        <w:t>Calfano</w:t>
      </w:r>
      <w:proofErr w:type="spellEnd"/>
      <w:r w:rsidR="002D153D" w:rsidRPr="007333CF">
        <w:rPr>
          <w:color w:val="000000"/>
        </w:rPr>
        <w:t xml:space="preserve"> and </w:t>
      </w:r>
      <w:proofErr w:type="spellStart"/>
      <w:r w:rsidR="002D153D" w:rsidRPr="007333CF">
        <w:rPr>
          <w:color w:val="000000"/>
        </w:rPr>
        <w:t>Nazita</w:t>
      </w:r>
      <w:proofErr w:type="spellEnd"/>
      <w:r w:rsidR="002D153D" w:rsidRPr="007333CF">
        <w:rPr>
          <w:color w:val="000000"/>
        </w:rPr>
        <w:t xml:space="preserve"> </w:t>
      </w:r>
      <w:proofErr w:type="spellStart"/>
      <w:r w:rsidR="002D153D" w:rsidRPr="007333CF">
        <w:rPr>
          <w:color w:val="000000"/>
        </w:rPr>
        <w:t>Lajevardi</w:t>
      </w:r>
      <w:proofErr w:type="spellEnd"/>
      <w:r w:rsidRPr="007333CF">
        <w:rPr>
          <w:i/>
          <w:iCs/>
          <w:color w:val="000000"/>
        </w:rPr>
        <w:t>. </w:t>
      </w:r>
      <w:r w:rsidR="00176F46">
        <w:rPr>
          <w:color w:val="000000"/>
        </w:rPr>
        <w:t>Philadelphia, PA: T</w:t>
      </w:r>
      <w:r w:rsidRPr="007333CF">
        <w:rPr>
          <w:color w:val="000000"/>
        </w:rPr>
        <w:t>emple University Press.</w:t>
      </w:r>
    </w:p>
    <w:p w14:paraId="5F0815FC" w14:textId="6B96E22A" w:rsidR="005D7C0F" w:rsidRPr="007333CF" w:rsidRDefault="00254FAB" w:rsidP="000215BF">
      <w:pPr>
        <w:spacing w:line="480" w:lineRule="auto"/>
        <w:ind w:left="720" w:hanging="720"/>
      </w:pPr>
      <w:r w:rsidRPr="007333CF">
        <w:lastRenderedPageBreak/>
        <w:t>Barreto, Matt, and Gary Segura</w:t>
      </w:r>
      <w:r w:rsidRPr="007E0D23">
        <w:t xml:space="preserve">. 2014. </w:t>
      </w:r>
      <w:r w:rsidRPr="007333CF">
        <w:rPr>
          <w:i/>
          <w:iCs/>
        </w:rPr>
        <w:t xml:space="preserve">Latino America: How America’s </w:t>
      </w:r>
      <w:r w:rsidR="00176F46" w:rsidRPr="007333CF">
        <w:rPr>
          <w:i/>
          <w:iCs/>
        </w:rPr>
        <w:t>most dynamic population is poised to transform the politics of the nation</w:t>
      </w:r>
      <w:r w:rsidRPr="007333CF">
        <w:t xml:space="preserve">. New York, NY: Public Affairs Books. </w:t>
      </w:r>
    </w:p>
    <w:p w14:paraId="530A1FE9" w14:textId="00BB68D8" w:rsidR="005D7C0F" w:rsidRPr="000215BF" w:rsidRDefault="009C7EB8" w:rsidP="000215BF">
      <w:pPr>
        <w:spacing w:line="480" w:lineRule="auto"/>
        <w:ind w:left="720" w:hanging="720"/>
      </w:pPr>
      <w:r w:rsidRPr="007333CF">
        <w:rPr>
          <w:rFonts w:eastAsia="ArialUnicodeMS"/>
        </w:rPr>
        <w:t xml:space="preserve">Barreto, Matt A., Lorrie </w:t>
      </w:r>
      <w:proofErr w:type="spellStart"/>
      <w:r w:rsidRPr="007333CF">
        <w:rPr>
          <w:rFonts w:eastAsia="ArialUnicodeMS"/>
        </w:rPr>
        <w:t>Frasure-Yokley</w:t>
      </w:r>
      <w:proofErr w:type="spellEnd"/>
      <w:r w:rsidRPr="007333CF">
        <w:rPr>
          <w:rFonts w:eastAsia="ArialUnicodeMS"/>
        </w:rPr>
        <w:t>, Edward D. Vargas &amp; Janelle Wong. 2018. Best practices in collecting online data with Asian, Black, Latino, and White respondents: evidence from the 2016 Collaborative Multiracial Post-</w:t>
      </w:r>
      <w:r w:rsidR="0024621C" w:rsidRPr="007333CF">
        <w:rPr>
          <w:rFonts w:eastAsia="ArialUnicodeMS"/>
        </w:rPr>
        <w:t>E</w:t>
      </w:r>
      <w:r w:rsidRPr="007333CF">
        <w:rPr>
          <w:rFonts w:eastAsia="ArialUnicodeMS"/>
        </w:rPr>
        <w:t xml:space="preserve">lection Survey. </w:t>
      </w:r>
      <w:r w:rsidRPr="007333CF">
        <w:rPr>
          <w:rFonts w:eastAsia="ArialUnicodeMS"/>
          <w:i/>
          <w:iCs/>
        </w:rPr>
        <w:t>Politics, Groups, and Identities</w:t>
      </w:r>
      <w:r w:rsidRPr="007333CF">
        <w:rPr>
          <w:rFonts w:eastAsia="ArialUnicodeMS"/>
        </w:rPr>
        <w:t>, 6</w:t>
      </w:r>
      <w:r w:rsidR="0029549A" w:rsidRPr="007333CF">
        <w:rPr>
          <w:rFonts w:eastAsia="ArialUnicodeMS"/>
        </w:rPr>
        <w:t>(</w:t>
      </w:r>
      <w:r w:rsidRPr="007333CF">
        <w:rPr>
          <w:rFonts w:eastAsia="ArialUnicodeMS"/>
        </w:rPr>
        <w:t>1</w:t>
      </w:r>
      <w:r w:rsidR="0029549A" w:rsidRPr="007333CF">
        <w:rPr>
          <w:rFonts w:eastAsia="ArialUnicodeMS"/>
        </w:rPr>
        <w:t>):</w:t>
      </w:r>
      <w:r w:rsidRPr="007333CF">
        <w:rPr>
          <w:rFonts w:eastAsia="ArialUnicodeMS"/>
        </w:rPr>
        <w:t>171-180</w:t>
      </w:r>
      <w:r w:rsidR="0029549A" w:rsidRPr="007333CF">
        <w:rPr>
          <w:rFonts w:eastAsia="ArialUnicodeMS"/>
        </w:rPr>
        <w:t>.</w:t>
      </w:r>
      <w:r w:rsidRPr="007333CF">
        <w:rPr>
          <w:rFonts w:eastAsia="ArialUnicodeMS"/>
        </w:rPr>
        <w:t xml:space="preserve"> </w:t>
      </w:r>
    </w:p>
    <w:p w14:paraId="00000084" w14:textId="30B1D78C" w:rsidR="007734B8" w:rsidRPr="000215BF" w:rsidRDefault="00C9241D" w:rsidP="000215BF">
      <w:pPr>
        <w:spacing w:line="480" w:lineRule="auto"/>
        <w:ind w:left="720" w:hanging="720"/>
      </w:pPr>
      <w:r w:rsidRPr="007333CF">
        <w:t xml:space="preserve">Berry, Justin, Youssef </w:t>
      </w:r>
      <w:proofErr w:type="spellStart"/>
      <w:r w:rsidRPr="007333CF">
        <w:t>Chouhoud</w:t>
      </w:r>
      <w:proofErr w:type="spellEnd"/>
      <w:r w:rsidRPr="007333CF">
        <w:t xml:space="preserve">, and Jane </w:t>
      </w:r>
      <w:proofErr w:type="spellStart"/>
      <w:r w:rsidRPr="007333CF">
        <w:t>Junn</w:t>
      </w:r>
      <w:proofErr w:type="spellEnd"/>
      <w:r w:rsidRPr="007333CF">
        <w:t xml:space="preserve">. 2016. Reaching </w:t>
      </w:r>
      <w:r w:rsidR="00176F46" w:rsidRPr="007333CF">
        <w:t xml:space="preserve">beyond low-hanging fruit: </w:t>
      </w:r>
      <w:r w:rsidR="007E0D23">
        <w:t>S</w:t>
      </w:r>
      <w:r w:rsidR="00176F46" w:rsidRPr="007333CF">
        <w:t>urveying low-incidence populations</w:t>
      </w:r>
      <w:r w:rsidRPr="007333CF">
        <w:t xml:space="preserve">. In </w:t>
      </w:r>
      <w:r w:rsidRPr="007333CF">
        <w:rPr>
          <w:i/>
          <w:iCs/>
        </w:rPr>
        <w:t xml:space="preserve">The Oxford </w:t>
      </w:r>
      <w:r w:rsidR="00176F46" w:rsidRPr="007333CF">
        <w:rPr>
          <w:i/>
          <w:iCs/>
        </w:rPr>
        <w:t>handbook of polling and survey method</w:t>
      </w:r>
      <w:r w:rsidRPr="007333CF">
        <w:rPr>
          <w:i/>
          <w:iCs/>
        </w:rPr>
        <w:t>s</w:t>
      </w:r>
      <w:r w:rsidRPr="007333CF">
        <w:t>, eds</w:t>
      </w:r>
      <w:r w:rsidR="00C177D7" w:rsidRPr="007333CF">
        <w:t xml:space="preserve">. Lonna Rae </w:t>
      </w:r>
      <w:proofErr w:type="spellStart"/>
      <w:r w:rsidR="00C177D7" w:rsidRPr="007333CF">
        <w:t>Atkeson</w:t>
      </w:r>
      <w:proofErr w:type="spellEnd"/>
      <w:r w:rsidR="00C177D7" w:rsidRPr="007333CF">
        <w:t xml:space="preserve"> and R. Michael Alvarez. </w:t>
      </w:r>
      <w:r w:rsidR="001E1738" w:rsidRPr="007333CF">
        <w:t>Oxford University Press.</w:t>
      </w:r>
    </w:p>
    <w:p w14:paraId="69A6F034" w14:textId="31A6EEBA" w:rsidR="004C190C" w:rsidRPr="007333CF" w:rsidRDefault="004C190C" w:rsidP="000215BF">
      <w:pPr>
        <w:spacing w:line="480" w:lineRule="auto"/>
        <w:ind w:left="720" w:hanging="720"/>
        <w:rPr>
          <w:highlight w:val="white"/>
        </w:rPr>
      </w:pPr>
      <w:r w:rsidRPr="007333CF">
        <w:rPr>
          <w:color w:val="222222"/>
          <w:shd w:val="clear" w:color="auto" w:fill="FFFFFF"/>
        </w:rPr>
        <w:t xml:space="preserve">Bilheimer, Linda T., and Jane E. Sisk. 2008. Collecting </w:t>
      </w:r>
      <w:r w:rsidR="00176F46" w:rsidRPr="007333CF">
        <w:rPr>
          <w:color w:val="222222"/>
          <w:shd w:val="clear" w:color="auto" w:fill="FFFFFF"/>
        </w:rPr>
        <w:t xml:space="preserve">adequate data on racial and ethnic disparities in health: </w:t>
      </w:r>
      <w:r w:rsidR="00176F46">
        <w:rPr>
          <w:color w:val="222222"/>
          <w:shd w:val="clear" w:color="auto" w:fill="FFFFFF"/>
        </w:rPr>
        <w:t>T</w:t>
      </w:r>
      <w:r w:rsidR="00176F46" w:rsidRPr="007333CF">
        <w:rPr>
          <w:color w:val="222222"/>
          <w:shd w:val="clear" w:color="auto" w:fill="FFFFFF"/>
        </w:rPr>
        <w:t>he challenges continue</w:t>
      </w:r>
      <w:r w:rsidRPr="007333CF">
        <w:rPr>
          <w:color w:val="222222"/>
          <w:shd w:val="clear" w:color="auto" w:fill="FFFFFF"/>
        </w:rPr>
        <w:t>. </w:t>
      </w:r>
      <w:r w:rsidRPr="007333CF">
        <w:rPr>
          <w:i/>
          <w:iCs/>
          <w:color w:val="222222"/>
          <w:shd w:val="clear" w:color="auto" w:fill="FFFFFF"/>
        </w:rPr>
        <w:t>Health Affairs</w:t>
      </w:r>
      <w:r w:rsidRPr="007333CF">
        <w:rPr>
          <w:color w:val="222222"/>
          <w:shd w:val="clear" w:color="auto" w:fill="FFFFFF"/>
        </w:rPr>
        <w:t> 27(2): 383-391.</w:t>
      </w:r>
    </w:p>
    <w:p w14:paraId="2200764E" w14:textId="6C2124E1" w:rsidR="004C190C" w:rsidRPr="007333CF" w:rsidRDefault="004C190C" w:rsidP="000215BF">
      <w:pPr>
        <w:spacing w:line="480" w:lineRule="auto"/>
        <w:ind w:left="720" w:hanging="720"/>
        <w:rPr>
          <w:highlight w:val="white"/>
        </w:rPr>
      </w:pPr>
      <w:r w:rsidRPr="007333CF">
        <w:rPr>
          <w:color w:val="222222"/>
          <w:shd w:val="clear" w:color="auto" w:fill="FFFFFF"/>
        </w:rPr>
        <w:t xml:space="preserve">Bowyer, Benjamin T., and Jon C. Rogowski. 2017. Mode </w:t>
      </w:r>
      <w:r w:rsidR="00176F46">
        <w:rPr>
          <w:color w:val="222222"/>
          <w:shd w:val="clear" w:color="auto" w:fill="FFFFFF"/>
        </w:rPr>
        <w:t>m</w:t>
      </w:r>
      <w:r w:rsidRPr="007333CF">
        <w:rPr>
          <w:color w:val="222222"/>
          <w:shd w:val="clear" w:color="auto" w:fill="FFFFFF"/>
        </w:rPr>
        <w:t xml:space="preserve">atters: Evaluating </w:t>
      </w:r>
      <w:r w:rsidR="00176F46" w:rsidRPr="007333CF">
        <w:rPr>
          <w:color w:val="222222"/>
          <w:shd w:val="clear" w:color="auto" w:fill="FFFFFF"/>
        </w:rPr>
        <w:t>response comparability in a mixed-mode survey</w:t>
      </w:r>
      <w:r w:rsidRPr="007333CF">
        <w:rPr>
          <w:color w:val="222222"/>
          <w:shd w:val="clear" w:color="auto" w:fill="FFFFFF"/>
        </w:rPr>
        <w:t>. </w:t>
      </w:r>
      <w:r w:rsidRPr="007333CF">
        <w:rPr>
          <w:i/>
          <w:iCs/>
          <w:color w:val="222222"/>
          <w:shd w:val="clear" w:color="auto" w:fill="FFFFFF"/>
        </w:rPr>
        <w:t>Political Science Research and Methods</w:t>
      </w:r>
      <w:r w:rsidRPr="007333CF">
        <w:rPr>
          <w:color w:val="222222"/>
          <w:shd w:val="clear" w:color="auto" w:fill="FFFFFF"/>
        </w:rPr>
        <w:t> 5(2): 295-313.</w:t>
      </w:r>
    </w:p>
    <w:p w14:paraId="00000088" w14:textId="4E90C2FC" w:rsidR="007734B8" w:rsidRPr="007333CF" w:rsidRDefault="00C77C72" w:rsidP="000215BF">
      <w:pPr>
        <w:spacing w:line="480" w:lineRule="auto"/>
        <w:ind w:left="720" w:hanging="720"/>
        <w:rPr>
          <w:highlight w:val="white"/>
        </w:rPr>
      </w:pPr>
      <w:r w:rsidRPr="007333CF">
        <w:rPr>
          <w:highlight w:val="white"/>
        </w:rPr>
        <w:t xml:space="preserve">Brewer, Paul R., and Barbara L. Ley. 2013. Whose </w:t>
      </w:r>
      <w:r w:rsidR="00176F46" w:rsidRPr="007333CF">
        <w:rPr>
          <w:highlight w:val="white"/>
        </w:rPr>
        <w:t>science do you believe</w:t>
      </w:r>
      <w:r w:rsidRPr="007333CF">
        <w:rPr>
          <w:highlight w:val="white"/>
        </w:rPr>
        <w:t xml:space="preserve">? Explaining </w:t>
      </w:r>
      <w:r w:rsidR="00176F46" w:rsidRPr="007333CF">
        <w:rPr>
          <w:highlight w:val="white"/>
        </w:rPr>
        <w:t>trust in sources of scientific information about the environment</w:t>
      </w:r>
      <w:r w:rsidRPr="007333CF">
        <w:rPr>
          <w:highlight w:val="white"/>
        </w:rPr>
        <w:t xml:space="preserve">. </w:t>
      </w:r>
      <w:r w:rsidRPr="007333CF">
        <w:rPr>
          <w:i/>
          <w:highlight w:val="white"/>
        </w:rPr>
        <w:t>Science Communication</w:t>
      </w:r>
      <w:r w:rsidRPr="007333CF">
        <w:rPr>
          <w:highlight w:val="white"/>
        </w:rPr>
        <w:t xml:space="preserve"> 35(1): 115-137.</w:t>
      </w:r>
    </w:p>
    <w:p w14:paraId="10A5A840" w14:textId="22952DB7" w:rsidR="00C9241D" w:rsidRPr="007333CF" w:rsidRDefault="00C77C72" w:rsidP="000215BF">
      <w:pPr>
        <w:spacing w:line="480" w:lineRule="auto"/>
        <w:ind w:left="720" w:hanging="720"/>
      </w:pPr>
      <w:r w:rsidRPr="007333CF">
        <w:rPr>
          <w:highlight w:val="white"/>
        </w:rPr>
        <w:t xml:space="preserve">Brossard, Dominique, Dietram A. Scheufele, </w:t>
      </w:r>
      <w:proofErr w:type="spellStart"/>
      <w:r w:rsidRPr="007333CF">
        <w:rPr>
          <w:highlight w:val="white"/>
        </w:rPr>
        <w:t>Eunkyung</w:t>
      </w:r>
      <w:proofErr w:type="spellEnd"/>
      <w:r w:rsidRPr="007333CF">
        <w:rPr>
          <w:highlight w:val="white"/>
        </w:rPr>
        <w:t xml:space="preserve"> Kim, and Bruce V. Lewenstein. 2009. Religiosity </w:t>
      </w:r>
      <w:r w:rsidR="00176F46" w:rsidRPr="007333CF">
        <w:rPr>
          <w:highlight w:val="white"/>
        </w:rPr>
        <w:t xml:space="preserve">as a perceptual filter: </w:t>
      </w:r>
      <w:r w:rsidR="00176F46">
        <w:rPr>
          <w:highlight w:val="white"/>
        </w:rPr>
        <w:t>E</w:t>
      </w:r>
      <w:r w:rsidR="00176F46" w:rsidRPr="007333CF">
        <w:rPr>
          <w:highlight w:val="white"/>
        </w:rPr>
        <w:t>xamining processes of opinion formation about nanotechnology</w:t>
      </w:r>
      <w:r w:rsidRPr="007333CF">
        <w:rPr>
          <w:highlight w:val="white"/>
        </w:rPr>
        <w:t xml:space="preserve">. </w:t>
      </w:r>
      <w:r w:rsidRPr="007333CF">
        <w:rPr>
          <w:i/>
          <w:highlight w:val="white"/>
        </w:rPr>
        <w:t>Public Understanding of Science</w:t>
      </w:r>
      <w:r w:rsidRPr="007333CF">
        <w:rPr>
          <w:highlight w:val="white"/>
        </w:rPr>
        <w:t xml:space="preserve"> 18(5): 546–58. </w:t>
      </w:r>
    </w:p>
    <w:p w14:paraId="0000008F" w14:textId="50079C19" w:rsidR="007734B8" w:rsidRPr="000215BF" w:rsidRDefault="004C190C" w:rsidP="000215BF">
      <w:pPr>
        <w:spacing w:line="480" w:lineRule="auto"/>
        <w:ind w:left="720" w:hanging="720"/>
      </w:pPr>
      <w:r w:rsidRPr="007333CF">
        <w:rPr>
          <w:color w:val="222222"/>
          <w:shd w:val="clear" w:color="auto" w:fill="FFFFFF"/>
        </w:rPr>
        <w:lastRenderedPageBreak/>
        <w:t xml:space="preserve">Cantor, Scott B., Theresa L. Byrd, Janet Y. Groff, Yesenia Reyes, Guillermo </w:t>
      </w:r>
      <w:proofErr w:type="spellStart"/>
      <w:r w:rsidRPr="007333CF">
        <w:rPr>
          <w:color w:val="222222"/>
          <w:shd w:val="clear" w:color="auto" w:fill="FFFFFF"/>
        </w:rPr>
        <w:t>Tortolero</w:t>
      </w:r>
      <w:proofErr w:type="spellEnd"/>
      <w:r w:rsidRPr="007333CF">
        <w:rPr>
          <w:color w:val="222222"/>
          <w:shd w:val="clear" w:color="auto" w:fill="FFFFFF"/>
        </w:rPr>
        <w:t xml:space="preserve">-Luna, and Patricia Dolan Mullen. 2005. The </w:t>
      </w:r>
      <w:r w:rsidR="00176F46" w:rsidRPr="007333CF">
        <w:rPr>
          <w:color w:val="222222"/>
          <w:shd w:val="clear" w:color="auto" w:fill="FFFFFF"/>
        </w:rPr>
        <w:t xml:space="preserve">language translation process in survey research: </w:t>
      </w:r>
      <w:r w:rsidR="00176F46">
        <w:rPr>
          <w:color w:val="222222"/>
          <w:shd w:val="clear" w:color="auto" w:fill="FFFFFF"/>
        </w:rPr>
        <w:t>A</w:t>
      </w:r>
      <w:r w:rsidR="00176F46" w:rsidRPr="007333CF">
        <w:rPr>
          <w:color w:val="222222"/>
          <w:shd w:val="clear" w:color="auto" w:fill="FFFFFF"/>
        </w:rPr>
        <w:t xml:space="preserve"> cost analysis</w:t>
      </w:r>
      <w:r w:rsidRPr="007333CF">
        <w:rPr>
          <w:color w:val="222222"/>
          <w:shd w:val="clear" w:color="auto" w:fill="FFFFFF"/>
        </w:rPr>
        <w:t>. </w:t>
      </w:r>
      <w:r w:rsidRPr="007333CF">
        <w:rPr>
          <w:i/>
          <w:iCs/>
          <w:color w:val="222222"/>
          <w:shd w:val="clear" w:color="auto" w:fill="FFFFFF"/>
        </w:rPr>
        <w:t>Hispanic Journal of Behavioral Sciences</w:t>
      </w:r>
      <w:r w:rsidRPr="007333CF">
        <w:rPr>
          <w:color w:val="222222"/>
          <w:shd w:val="clear" w:color="auto" w:fill="FFFFFF"/>
        </w:rPr>
        <w:t> 27(3): 364-370.</w:t>
      </w:r>
    </w:p>
    <w:p w14:paraId="074155B7" w14:textId="2DE331C7" w:rsidR="004C190C" w:rsidRPr="007333CF" w:rsidRDefault="004C190C" w:rsidP="000215BF">
      <w:pPr>
        <w:spacing w:line="480" w:lineRule="auto"/>
        <w:ind w:left="720" w:hanging="720"/>
        <w:rPr>
          <w:highlight w:val="white"/>
        </w:rPr>
      </w:pPr>
      <w:r w:rsidRPr="007333CF">
        <w:rPr>
          <w:color w:val="222222"/>
          <w:shd w:val="clear" w:color="auto" w:fill="FFFFFF"/>
        </w:rPr>
        <w:t xml:space="preserve">Decker, Michele R., Beth </w:t>
      </w:r>
      <w:proofErr w:type="spellStart"/>
      <w:r w:rsidRPr="007333CF">
        <w:rPr>
          <w:color w:val="222222"/>
          <w:shd w:val="clear" w:color="auto" w:fill="FFFFFF"/>
        </w:rPr>
        <w:t>Dail</w:t>
      </w:r>
      <w:proofErr w:type="spellEnd"/>
      <w:r w:rsidRPr="007333CF">
        <w:rPr>
          <w:color w:val="222222"/>
          <w:shd w:val="clear" w:color="auto" w:fill="FFFFFF"/>
        </w:rPr>
        <w:t xml:space="preserve"> Marshall, Mark Emerson, Amanda </w:t>
      </w:r>
      <w:proofErr w:type="spellStart"/>
      <w:r w:rsidRPr="007333CF">
        <w:rPr>
          <w:color w:val="222222"/>
          <w:shd w:val="clear" w:color="auto" w:fill="FFFFFF"/>
        </w:rPr>
        <w:t>Kalamar</w:t>
      </w:r>
      <w:proofErr w:type="spellEnd"/>
      <w:r w:rsidRPr="007333CF">
        <w:rPr>
          <w:color w:val="222222"/>
          <w:shd w:val="clear" w:color="auto" w:fill="FFFFFF"/>
        </w:rPr>
        <w:t xml:space="preserve">, Laura Covarrubias, Nan </w:t>
      </w:r>
      <w:proofErr w:type="spellStart"/>
      <w:r w:rsidRPr="007333CF">
        <w:rPr>
          <w:color w:val="222222"/>
          <w:shd w:val="clear" w:color="auto" w:fill="FFFFFF"/>
        </w:rPr>
        <w:t>Astone</w:t>
      </w:r>
      <w:proofErr w:type="spellEnd"/>
      <w:r w:rsidRPr="007333CF">
        <w:rPr>
          <w:color w:val="222222"/>
          <w:shd w:val="clear" w:color="auto" w:fill="FFFFFF"/>
        </w:rPr>
        <w:t xml:space="preserve">, </w:t>
      </w:r>
      <w:proofErr w:type="spellStart"/>
      <w:r w:rsidRPr="007333CF">
        <w:rPr>
          <w:color w:val="222222"/>
          <w:shd w:val="clear" w:color="auto" w:fill="FFFFFF"/>
        </w:rPr>
        <w:t>Ziliang</w:t>
      </w:r>
      <w:proofErr w:type="spellEnd"/>
      <w:r w:rsidRPr="007333CF">
        <w:rPr>
          <w:color w:val="222222"/>
          <w:shd w:val="clear" w:color="auto" w:fill="FFFFFF"/>
        </w:rPr>
        <w:t xml:space="preserve"> Wang</w:t>
      </w:r>
      <w:r w:rsidR="00B32330">
        <w:rPr>
          <w:color w:val="222222"/>
          <w:shd w:val="clear" w:color="auto" w:fill="FFFFFF"/>
        </w:rPr>
        <w:t xml:space="preserve">, </w:t>
      </w:r>
      <w:proofErr w:type="spellStart"/>
      <w:r w:rsidR="00B32330" w:rsidRPr="00B32330">
        <w:rPr>
          <w:color w:val="222222"/>
          <w:shd w:val="clear" w:color="auto" w:fill="FFFFFF"/>
        </w:rPr>
        <w:t>Ersheng</w:t>
      </w:r>
      <w:proofErr w:type="spellEnd"/>
      <w:r w:rsidR="00B32330">
        <w:rPr>
          <w:color w:val="222222"/>
          <w:shd w:val="clear" w:color="auto" w:fill="FFFFFF"/>
        </w:rPr>
        <w:t xml:space="preserve"> </w:t>
      </w:r>
      <w:r w:rsidR="00B32330" w:rsidRPr="00B32330">
        <w:rPr>
          <w:color w:val="222222"/>
          <w:shd w:val="clear" w:color="auto" w:fill="FFFFFF"/>
        </w:rPr>
        <w:t>Gao</w:t>
      </w:r>
      <w:r w:rsidR="00B32330">
        <w:rPr>
          <w:color w:val="222222"/>
          <w:shd w:val="clear" w:color="auto" w:fill="FFFFFF"/>
        </w:rPr>
        <w:t xml:space="preserve">, </w:t>
      </w:r>
      <w:r w:rsidR="00B32330" w:rsidRPr="00B32330">
        <w:rPr>
          <w:color w:val="222222"/>
          <w:shd w:val="clear" w:color="auto" w:fill="FFFFFF"/>
        </w:rPr>
        <w:t>Lawrence</w:t>
      </w:r>
      <w:r w:rsidR="00B32330">
        <w:rPr>
          <w:color w:val="222222"/>
          <w:shd w:val="clear" w:color="auto" w:fill="FFFFFF"/>
        </w:rPr>
        <w:t xml:space="preserve"> </w:t>
      </w:r>
      <w:proofErr w:type="spellStart"/>
      <w:r w:rsidR="00B32330" w:rsidRPr="00B32330">
        <w:rPr>
          <w:color w:val="222222"/>
          <w:shd w:val="clear" w:color="auto" w:fill="FFFFFF"/>
        </w:rPr>
        <w:t>Mashimbye</w:t>
      </w:r>
      <w:proofErr w:type="spellEnd"/>
      <w:r w:rsidR="00B32330">
        <w:rPr>
          <w:color w:val="222222"/>
          <w:shd w:val="clear" w:color="auto" w:fill="FFFFFF"/>
        </w:rPr>
        <w:t xml:space="preserve">, </w:t>
      </w:r>
      <w:r w:rsidR="00B32330" w:rsidRPr="00B32330">
        <w:rPr>
          <w:color w:val="222222"/>
          <w:shd w:val="clear" w:color="auto" w:fill="FFFFFF"/>
        </w:rPr>
        <w:t>Sinead</w:t>
      </w:r>
      <w:r w:rsidR="00B32330">
        <w:rPr>
          <w:color w:val="222222"/>
          <w:shd w:val="clear" w:color="auto" w:fill="FFFFFF"/>
        </w:rPr>
        <w:t xml:space="preserve"> </w:t>
      </w:r>
      <w:r w:rsidR="00B32330" w:rsidRPr="00B32330">
        <w:rPr>
          <w:color w:val="222222"/>
          <w:shd w:val="clear" w:color="auto" w:fill="FFFFFF"/>
        </w:rPr>
        <w:t>Delany-</w:t>
      </w:r>
      <w:proofErr w:type="spellStart"/>
      <w:r w:rsidR="00B32330" w:rsidRPr="00B32330">
        <w:rPr>
          <w:color w:val="222222"/>
          <w:shd w:val="clear" w:color="auto" w:fill="FFFFFF"/>
        </w:rPr>
        <w:t>Moretlwe</w:t>
      </w:r>
      <w:proofErr w:type="spellEnd"/>
      <w:r w:rsidR="00B32330">
        <w:rPr>
          <w:color w:val="222222"/>
          <w:shd w:val="clear" w:color="auto" w:fill="FFFFFF"/>
        </w:rPr>
        <w:t xml:space="preserve">, </w:t>
      </w:r>
      <w:proofErr w:type="spellStart"/>
      <w:r w:rsidR="00B32330" w:rsidRPr="00B32330">
        <w:rPr>
          <w:color w:val="222222"/>
          <w:shd w:val="clear" w:color="auto" w:fill="FFFFFF"/>
        </w:rPr>
        <w:t>Rajib</w:t>
      </w:r>
      <w:proofErr w:type="spellEnd"/>
      <w:r w:rsidR="00B32330">
        <w:rPr>
          <w:color w:val="222222"/>
          <w:shd w:val="clear" w:color="auto" w:fill="FFFFFF"/>
        </w:rPr>
        <w:t xml:space="preserve"> </w:t>
      </w:r>
      <w:r w:rsidR="00B32330" w:rsidRPr="00B32330">
        <w:rPr>
          <w:color w:val="222222"/>
          <w:shd w:val="clear" w:color="auto" w:fill="FFFFFF"/>
        </w:rPr>
        <w:t>Acharya</w:t>
      </w:r>
      <w:r w:rsidR="00B32330">
        <w:rPr>
          <w:color w:val="222222"/>
          <w:shd w:val="clear" w:color="auto" w:fill="FFFFFF"/>
        </w:rPr>
        <w:t xml:space="preserve">, </w:t>
      </w:r>
      <w:r w:rsidR="00B32330" w:rsidRPr="00B32330">
        <w:rPr>
          <w:color w:val="222222"/>
          <w:shd w:val="clear" w:color="auto" w:fill="FFFFFF"/>
        </w:rPr>
        <w:t>Adesola</w:t>
      </w:r>
      <w:r w:rsidR="00B32330">
        <w:rPr>
          <w:color w:val="222222"/>
          <w:shd w:val="clear" w:color="auto" w:fill="FFFFFF"/>
        </w:rPr>
        <w:t xml:space="preserve"> </w:t>
      </w:r>
      <w:r w:rsidR="00B32330" w:rsidRPr="00B32330">
        <w:rPr>
          <w:color w:val="222222"/>
          <w:shd w:val="clear" w:color="auto" w:fill="FFFFFF"/>
        </w:rPr>
        <w:t>Olumide</w:t>
      </w:r>
      <w:r w:rsidR="00B32330">
        <w:rPr>
          <w:color w:val="222222"/>
          <w:shd w:val="clear" w:color="auto" w:fill="FFFFFF"/>
        </w:rPr>
        <w:t xml:space="preserve">, </w:t>
      </w:r>
      <w:proofErr w:type="spellStart"/>
      <w:r w:rsidR="00B32330" w:rsidRPr="00B32330">
        <w:rPr>
          <w:color w:val="222222"/>
          <w:shd w:val="clear" w:color="auto" w:fill="FFFFFF"/>
        </w:rPr>
        <w:t>Oladosu</w:t>
      </w:r>
      <w:proofErr w:type="spellEnd"/>
      <w:r w:rsidR="00B32330">
        <w:rPr>
          <w:color w:val="222222"/>
          <w:shd w:val="clear" w:color="auto" w:fill="FFFFFF"/>
        </w:rPr>
        <w:t xml:space="preserve"> </w:t>
      </w:r>
      <w:proofErr w:type="spellStart"/>
      <w:r w:rsidR="00B32330" w:rsidRPr="00B32330">
        <w:rPr>
          <w:color w:val="222222"/>
          <w:shd w:val="clear" w:color="auto" w:fill="FFFFFF"/>
        </w:rPr>
        <w:t>Ojengbede</w:t>
      </w:r>
      <w:proofErr w:type="spellEnd"/>
      <w:r w:rsidR="00B32330">
        <w:rPr>
          <w:color w:val="222222"/>
          <w:shd w:val="clear" w:color="auto" w:fill="FFFFFF"/>
        </w:rPr>
        <w:t xml:space="preserve">, </w:t>
      </w:r>
      <w:r w:rsidR="00B32330" w:rsidRPr="00B32330">
        <w:rPr>
          <w:color w:val="222222"/>
          <w:shd w:val="clear" w:color="auto" w:fill="FFFFFF"/>
        </w:rPr>
        <w:t>Robert W.</w:t>
      </w:r>
      <w:r w:rsidR="000215BF">
        <w:rPr>
          <w:color w:val="222222"/>
          <w:shd w:val="clear" w:color="auto" w:fill="FFFFFF"/>
        </w:rPr>
        <w:t xml:space="preserve"> </w:t>
      </w:r>
      <w:r w:rsidR="00B32330" w:rsidRPr="00B32330">
        <w:rPr>
          <w:color w:val="222222"/>
          <w:shd w:val="clear" w:color="auto" w:fill="FFFFFF"/>
        </w:rPr>
        <w:t>Blum</w:t>
      </w:r>
      <w:r w:rsidR="00B32330">
        <w:rPr>
          <w:color w:val="222222"/>
          <w:shd w:val="clear" w:color="auto" w:fill="FFFFFF"/>
        </w:rPr>
        <w:t xml:space="preserve">, and </w:t>
      </w:r>
      <w:r w:rsidR="00B32330" w:rsidRPr="00B32330">
        <w:rPr>
          <w:color w:val="222222"/>
          <w:shd w:val="clear" w:color="auto" w:fill="FFFFFF"/>
        </w:rPr>
        <w:t>Freya L.</w:t>
      </w:r>
      <w:r w:rsidR="000215BF">
        <w:rPr>
          <w:color w:val="222222"/>
          <w:shd w:val="clear" w:color="auto" w:fill="FFFFFF"/>
        </w:rPr>
        <w:t xml:space="preserve"> </w:t>
      </w:r>
      <w:proofErr w:type="spellStart"/>
      <w:r w:rsidR="00B32330" w:rsidRPr="00B32330">
        <w:rPr>
          <w:color w:val="222222"/>
          <w:shd w:val="clear" w:color="auto" w:fill="FFFFFF"/>
        </w:rPr>
        <w:t>Sonenstei</w:t>
      </w:r>
      <w:r w:rsidR="00B32330">
        <w:rPr>
          <w:color w:val="222222"/>
          <w:shd w:val="clear" w:color="auto" w:fill="FFFFFF"/>
        </w:rPr>
        <w:t>n</w:t>
      </w:r>
      <w:proofErr w:type="spellEnd"/>
      <w:r w:rsidR="00B32330">
        <w:rPr>
          <w:color w:val="222222"/>
          <w:shd w:val="clear" w:color="auto" w:fill="FFFFFF"/>
        </w:rPr>
        <w:t>.</w:t>
      </w:r>
      <w:r w:rsidRPr="007333CF">
        <w:rPr>
          <w:color w:val="222222"/>
          <w:shd w:val="clear" w:color="auto" w:fill="FFFFFF"/>
        </w:rPr>
        <w:t xml:space="preserve"> 2014. Respondent-</w:t>
      </w:r>
      <w:r w:rsidR="00176F46" w:rsidRPr="007333CF">
        <w:rPr>
          <w:color w:val="222222"/>
          <w:shd w:val="clear" w:color="auto" w:fill="FFFFFF"/>
        </w:rPr>
        <w:t xml:space="preserve">driven sampling for an adolescent health study in vulnerable urban settings: </w:t>
      </w:r>
      <w:r w:rsidR="00176F46">
        <w:rPr>
          <w:color w:val="222222"/>
          <w:shd w:val="clear" w:color="auto" w:fill="FFFFFF"/>
        </w:rPr>
        <w:t xml:space="preserve">A </w:t>
      </w:r>
      <w:r w:rsidR="00176F46" w:rsidRPr="007333CF">
        <w:rPr>
          <w:color w:val="222222"/>
          <w:shd w:val="clear" w:color="auto" w:fill="FFFFFF"/>
        </w:rPr>
        <w:t>multi-country study</w:t>
      </w:r>
      <w:r w:rsidRPr="007333CF">
        <w:rPr>
          <w:color w:val="222222"/>
          <w:shd w:val="clear" w:color="auto" w:fill="FFFFFF"/>
        </w:rPr>
        <w:t>. </w:t>
      </w:r>
      <w:r w:rsidRPr="007333CF">
        <w:rPr>
          <w:i/>
          <w:iCs/>
          <w:color w:val="222222"/>
          <w:shd w:val="clear" w:color="auto" w:fill="FFFFFF"/>
        </w:rPr>
        <w:t>Journal of Adolescent Health</w:t>
      </w:r>
      <w:r w:rsidRPr="007333CF">
        <w:rPr>
          <w:color w:val="222222"/>
          <w:shd w:val="clear" w:color="auto" w:fill="FFFFFF"/>
        </w:rPr>
        <w:t> 55</w:t>
      </w:r>
      <w:r w:rsidR="00ED00A1" w:rsidRPr="007333CF">
        <w:rPr>
          <w:color w:val="222222"/>
          <w:shd w:val="clear" w:color="auto" w:fill="FFFFFF"/>
        </w:rPr>
        <w:t>(</w:t>
      </w:r>
      <w:r w:rsidRPr="007333CF">
        <w:rPr>
          <w:color w:val="222222"/>
          <w:shd w:val="clear" w:color="auto" w:fill="FFFFFF"/>
        </w:rPr>
        <w:t>6</w:t>
      </w:r>
      <w:r w:rsidR="00ED00A1" w:rsidRPr="007333CF">
        <w:rPr>
          <w:color w:val="222222"/>
          <w:shd w:val="clear" w:color="auto" w:fill="FFFFFF"/>
        </w:rPr>
        <w:t>)</w:t>
      </w:r>
      <w:r w:rsidRPr="007333CF">
        <w:rPr>
          <w:color w:val="222222"/>
          <w:shd w:val="clear" w:color="auto" w:fill="FFFFFF"/>
        </w:rPr>
        <w:t>: S6-S12.</w:t>
      </w:r>
    </w:p>
    <w:p w14:paraId="00000091" w14:textId="3ECA64F5" w:rsidR="007734B8" w:rsidRPr="007333CF" w:rsidRDefault="00C77C72" w:rsidP="000215BF">
      <w:pPr>
        <w:spacing w:line="480" w:lineRule="auto"/>
        <w:ind w:left="720" w:hanging="720"/>
        <w:rPr>
          <w:highlight w:val="white"/>
        </w:rPr>
      </w:pPr>
      <w:r w:rsidRPr="007333CF">
        <w:rPr>
          <w:highlight w:val="white"/>
        </w:rPr>
        <w:t xml:space="preserve">Dietz, Thomas. 2013. Bringing </w:t>
      </w:r>
      <w:r w:rsidR="00176F46" w:rsidRPr="007333CF">
        <w:rPr>
          <w:highlight w:val="white"/>
        </w:rPr>
        <w:t>values and deliberation to science communication</w:t>
      </w:r>
      <w:r w:rsidRPr="007333CF">
        <w:rPr>
          <w:highlight w:val="white"/>
        </w:rPr>
        <w:t xml:space="preserve">. </w:t>
      </w:r>
      <w:r w:rsidRPr="007333CF">
        <w:rPr>
          <w:i/>
          <w:highlight w:val="white"/>
        </w:rPr>
        <w:t>Proceedings of the National Academy of Sciences</w:t>
      </w:r>
      <w:r w:rsidRPr="007333CF">
        <w:rPr>
          <w:highlight w:val="white"/>
        </w:rPr>
        <w:t xml:space="preserve"> 110(S3): 14081-14087.</w:t>
      </w:r>
    </w:p>
    <w:p w14:paraId="0000009F" w14:textId="7FF96EF0" w:rsidR="007734B8" w:rsidRPr="007333CF" w:rsidRDefault="00E54DA3" w:rsidP="000215BF">
      <w:pPr>
        <w:spacing w:line="480" w:lineRule="auto"/>
        <w:ind w:left="720" w:hanging="720"/>
      </w:pPr>
      <w:r w:rsidRPr="007333CF">
        <w:t>Giles, Krista J., and Mark S. Handcock. 2010. Respondent-</w:t>
      </w:r>
      <w:r w:rsidR="00176F46" w:rsidRPr="007333CF">
        <w:t xml:space="preserve">driven sampling: </w:t>
      </w:r>
      <w:r w:rsidR="00176F46">
        <w:t>A</w:t>
      </w:r>
      <w:r w:rsidR="00176F46" w:rsidRPr="007333CF">
        <w:t>n assessment of current methodolog</w:t>
      </w:r>
      <w:r w:rsidRPr="007333CF">
        <w:t xml:space="preserve">y. </w:t>
      </w:r>
      <w:r w:rsidRPr="007333CF">
        <w:rPr>
          <w:i/>
          <w:iCs/>
        </w:rPr>
        <w:t>Sociological Methodology</w:t>
      </w:r>
      <w:r w:rsidRPr="007333CF">
        <w:t xml:space="preserve"> 40(1): 285-327. </w:t>
      </w:r>
    </w:p>
    <w:p w14:paraId="715C4699" w14:textId="1F21F09D" w:rsidR="00ED00A1" w:rsidRPr="000215BF" w:rsidRDefault="00ED00A1" w:rsidP="000215BF">
      <w:pPr>
        <w:spacing w:line="480" w:lineRule="auto"/>
        <w:ind w:left="720" w:hanging="720"/>
        <w:rPr>
          <w:color w:val="222222"/>
          <w:shd w:val="clear" w:color="auto" w:fill="FFFFFF"/>
        </w:rPr>
      </w:pPr>
      <w:r w:rsidRPr="007333CF">
        <w:rPr>
          <w:color w:val="222222"/>
          <w:shd w:val="clear" w:color="auto" w:fill="FFFFFF"/>
        </w:rPr>
        <w:t xml:space="preserve">Goel, Sharad, and Matthew J. </w:t>
      </w:r>
      <w:proofErr w:type="spellStart"/>
      <w:r w:rsidRPr="007333CF">
        <w:rPr>
          <w:color w:val="222222"/>
          <w:shd w:val="clear" w:color="auto" w:fill="FFFFFF"/>
        </w:rPr>
        <w:t>Salganik</w:t>
      </w:r>
      <w:proofErr w:type="spellEnd"/>
      <w:r w:rsidRPr="007333CF">
        <w:rPr>
          <w:color w:val="222222"/>
          <w:shd w:val="clear" w:color="auto" w:fill="FFFFFF"/>
        </w:rPr>
        <w:t xml:space="preserve">. 2010. Assessing </w:t>
      </w:r>
      <w:r w:rsidR="00176F46" w:rsidRPr="007333CF">
        <w:rPr>
          <w:color w:val="222222"/>
          <w:shd w:val="clear" w:color="auto" w:fill="FFFFFF"/>
        </w:rPr>
        <w:t>respondent-driven sampling</w:t>
      </w:r>
      <w:r w:rsidRPr="007333CF">
        <w:rPr>
          <w:color w:val="222222"/>
          <w:shd w:val="clear" w:color="auto" w:fill="FFFFFF"/>
        </w:rPr>
        <w:t>. </w:t>
      </w:r>
      <w:r w:rsidRPr="007333CF">
        <w:rPr>
          <w:i/>
          <w:iCs/>
          <w:color w:val="222222"/>
          <w:shd w:val="clear" w:color="auto" w:fill="FFFFFF"/>
        </w:rPr>
        <w:t>Proceedings of the National Academy of Sciences</w:t>
      </w:r>
      <w:r w:rsidRPr="007333CF">
        <w:rPr>
          <w:color w:val="222222"/>
          <w:shd w:val="clear" w:color="auto" w:fill="FFFFFF"/>
        </w:rPr>
        <w:t> 107(15): 6743-6747.</w:t>
      </w:r>
    </w:p>
    <w:p w14:paraId="1C42BB53" w14:textId="74188196" w:rsidR="00ED00A1" w:rsidRPr="000215BF" w:rsidRDefault="00ED00A1" w:rsidP="000215BF">
      <w:pPr>
        <w:spacing w:line="480" w:lineRule="auto"/>
        <w:ind w:left="720" w:hanging="720"/>
        <w:rPr>
          <w:color w:val="222222"/>
          <w:shd w:val="clear" w:color="auto" w:fill="FFFFFF"/>
        </w:rPr>
      </w:pPr>
      <w:r w:rsidRPr="007333CF">
        <w:rPr>
          <w:color w:val="222222"/>
          <w:shd w:val="clear" w:color="auto" w:fill="FFFFFF"/>
        </w:rPr>
        <w:t>González-</w:t>
      </w:r>
      <w:proofErr w:type="spellStart"/>
      <w:r w:rsidRPr="007333CF">
        <w:rPr>
          <w:color w:val="222222"/>
          <w:shd w:val="clear" w:color="auto" w:fill="FFFFFF"/>
        </w:rPr>
        <w:t>Cabán</w:t>
      </w:r>
      <w:proofErr w:type="spellEnd"/>
      <w:r w:rsidRPr="007333CF">
        <w:rPr>
          <w:color w:val="222222"/>
          <w:shd w:val="clear" w:color="auto" w:fill="FFFFFF"/>
        </w:rPr>
        <w:t xml:space="preserve">, Armando, John B. Loomis, Andrea Rodriguez, and Hayley </w:t>
      </w:r>
      <w:proofErr w:type="spellStart"/>
      <w:r w:rsidRPr="007333CF">
        <w:rPr>
          <w:color w:val="222222"/>
          <w:shd w:val="clear" w:color="auto" w:fill="FFFFFF"/>
        </w:rPr>
        <w:t>Hesseln</w:t>
      </w:r>
      <w:proofErr w:type="spellEnd"/>
      <w:r w:rsidRPr="007333CF">
        <w:rPr>
          <w:color w:val="222222"/>
          <w:shd w:val="clear" w:color="auto" w:fill="FFFFFF"/>
        </w:rPr>
        <w:t xml:space="preserve">. 2007. A </w:t>
      </w:r>
      <w:r w:rsidR="00176F46">
        <w:rPr>
          <w:color w:val="222222"/>
          <w:shd w:val="clear" w:color="auto" w:fill="FFFFFF"/>
        </w:rPr>
        <w:t>c</w:t>
      </w:r>
      <w:r w:rsidRPr="007333CF">
        <w:rPr>
          <w:color w:val="222222"/>
          <w:shd w:val="clear" w:color="auto" w:fill="FFFFFF"/>
        </w:rPr>
        <w:t xml:space="preserve">omparison of CVM </w:t>
      </w:r>
      <w:r w:rsidR="00176F46" w:rsidRPr="007333CF">
        <w:rPr>
          <w:color w:val="222222"/>
          <w:shd w:val="clear" w:color="auto" w:fill="FFFFFF"/>
        </w:rPr>
        <w:t xml:space="preserve">survey response rates, protests and willingness-to-pay of </w:t>
      </w:r>
      <w:r w:rsidR="00176F46">
        <w:rPr>
          <w:color w:val="222222"/>
          <w:shd w:val="clear" w:color="auto" w:fill="FFFFFF"/>
        </w:rPr>
        <w:t>N</w:t>
      </w:r>
      <w:r w:rsidR="00176F46" w:rsidRPr="007333CF">
        <w:rPr>
          <w:color w:val="222222"/>
          <w:shd w:val="clear" w:color="auto" w:fill="FFFFFF"/>
        </w:rPr>
        <w:t xml:space="preserve">ative </w:t>
      </w:r>
      <w:r w:rsidR="00176F46">
        <w:rPr>
          <w:color w:val="222222"/>
          <w:shd w:val="clear" w:color="auto" w:fill="FFFFFF"/>
        </w:rPr>
        <w:t>A</w:t>
      </w:r>
      <w:r w:rsidR="00176F46" w:rsidRPr="007333CF">
        <w:rPr>
          <w:color w:val="222222"/>
          <w:shd w:val="clear" w:color="auto" w:fill="FFFFFF"/>
        </w:rPr>
        <w:t>mericans and general population for fuels reduction po</w:t>
      </w:r>
      <w:r w:rsidRPr="007333CF">
        <w:rPr>
          <w:color w:val="222222"/>
          <w:shd w:val="clear" w:color="auto" w:fill="FFFFFF"/>
        </w:rPr>
        <w:t>licies. </w:t>
      </w:r>
      <w:r w:rsidRPr="007333CF">
        <w:rPr>
          <w:i/>
          <w:iCs/>
          <w:color w:val="222222"/>
          <w:shd w:val="clear" w:color="auto" w:fill="FFFFFF"/>
        </w:rPr>
        <w:t>Journal of Forest Economics</w:t>
      </w:r>
      <w:r w:rsidRPr="007333CF">
        <w:rPr>
          <w:color w:val="222222"/>
          <w:shd w:val="clear" w:color="auto" w:fill="FFFFFF"/>
        </w:rPr>
        <w:t> 13(1): 49-71.</w:t>
      </w:r>
    </w:p>
    <w:p w14:paraId="6B3BDAAF" w14:textId="6B304D6D" w:rsidR="00ED00A1" w:rsidRPr="007333CF" w:rsidRDefault="00ED00A1" w:rsidP="000215BF">
      <w:pPr>
        <w:spacing w:line="480" w:lineRule="auto"/>
        <w:ind w:left="720" w:hanging="720"/>
      </w:pPr>
      <w:proofErr w:type="spellStart"/>
      <w:r w:rsidRPr="007333CF">
        <w:rPr>
          <w:color w:val="222222"/>
          <w:shd w:val="clear" w:color="auto" w:fill="FFFFFF"/>
        </w:rPr>
        <w:t>Heckathorn</w:t>
      </w:r>
      <w:proofErr w:type="spellEnd"/>
      <w:r w:rsidRPr="007333CF">
        <w:rPr>
          <w:color w:val="222222"/>
          <w:shd w:val="clear" w:color="auto" w:fill="FFFFFF"/>
        </w:rPr>
        <w:t>, Douglas D. 1997. Respondent-</w:t>
      </w:r>
      <w:r w:rsidR="00176F46" w:rsidRPr="007333CF">
        <w:rPr>
          <w:color w:val="222222"/>
          <w:shd w:val="clear" w:color="auto" w:fill="FFFFFF"/>
        </w:rPr>
        <w:t xml:space="preserve">driven sampling: </w:t>
      </w:r>
      <w:r w:rsidR="00176F46">
        <w:rPr>
          <w:color w:val="222222"/>
          <w:shd w:val="clear" w:color="auto" w:fill="FFFFFF"/>
        </w:rPr>
        <w:t>A</w:t>
      </w:r>
      <w:r w:rsidR="00176F46" w:rsidRPr="007333CF">
        <w:rPr>
          <w:color w:val="222222"/>
          <w:shd w:val="clear" w:color="auto" w:fill="FFFFFF"/>
        </w:rPr>
        <w:t xml:space="preserve"> new approach to the study of hidden populations</w:t>
      </w:r>
      <w:r w:rsidRPr="007333CF">
        <w:rPr>
          <w:color w:val="222222"/>
          <w:shd w:val="clear" w:color="auto" w:fill="FFFFFF"/>
        </w:rPr>
        <w:t>. </w:t>
      </w:r>
      <w:r w:rsidRPr="007333CF">
        <w:rPr>
          <w:i/>
          <w:iCs/>
          <w:color w:val="222222"/>
          <w:shd w:val="clear" w:color="auto" w:fill="FFFFFF"/>
        </w:rPr>
        <w:t xml:space="preserve">Social </w:t>
      </w:r>
      <w:r w:rsidR="0024621C" w:rsidRPr="007333CF">
        <w:rPr>
          <w:i/>
          <w:iCs/>
          <w:color w:val="222222"/>
          <w:shd w:val="clear" w:color="auto" w:fill="FFFFFF"/>
        </w:rPr>
        <w:t>P</w:t>
      </w:r>
      <w:r w:rsidRPr="007333CF">
        <w:rPr>
          <w:i/>
          <w:iCs/>
          <w:color w:val="222222"/>
          <w:shd w:val="clear" w:color="auto" w:fill="FFFFFF"/>
        </w:rPr>
        <w:t>roblems</w:t>
      </w:r>
      <w:r w:rsidRPr="007333CF">
        <w:rPr>
          <w:color w:val="222222"/>
          <w:shd w:val="clear" w:color="auto" w:fill="FFFFFF"/>
        </w:rPr>
        <w:t> 44(2): 174-199.</w:t>
      </w:r>
    </w:p>
    <w:p w14:paraId="708E9E2B" w14:textId="37174B34" w:rsidR="00B46BCA" w:rsidRPr="007333CF" w:rsidRDefault="00ED00A1" w:rsidP="000215BF">
      <w:pPr>
        <w:spacing w:line="480" w:lineRule="auto"/>
        <w:ind w:left="720" w:hanging="720"/>
        <w:rPr>
          <w:color w:val="222222"/>
          <w:shd w:val="clear" w:color="auto" w:fill="FFFFFF"/>
        </w:rPr>
      </w:pPr>
      <w:proofErr w:type="spellStart"/>
      <w:r w:rsidRPr="007333CF">
        <w:rPr>
          <w:color w:val="222222"/>
          <w:shd w:val="clear" w:color="auto" w:fill="FFFFFF"/>
        </w:rPr>
        <w:lastRenderedPageBreak/>
        <w:t>Hornsey</w:t>
      </w:r>
      <w:proofErr w:type="spellEnd"/>
      <w:r w:rsidRPr="007333CF">
        <w:rPr>
          <w:color w:val="222222"/>
          <w:shd w:val="clear" w:color="auto" w:fill="FFFFFF"/>
        </w:rPr>
        <w:t>, Matthew J., Emily A. Harris, Paul G. Bain, and Kelly S. Fielding. 2016. Meta-</w:t>
      </w:r>
      <w:r w:rsidR="00176F46" w:rsidRPr="007333CF">
        <w:rPr>
          <w:color w:val="222222"/>
          <w:shd w:val="clear" w:color="auto" w:fill="FFFFFF"/>
        </w:rPr>
        <w:t>analyses of the determinants and outcomes of belief in climate change</w:t>
      </w:r>
      <w:r w:rsidRPr="007333CF">
        <w:rPr>
          <w:color w:val="222222"/>
          <w:shd w:val="clear" w:color="auto" w:fill="FFFFFF"/>
        </w:rPr>
        <w:t>. </w:t>
      </w:r>
      <w:r w:rsidRPr="007333CF">
        <w:rPr>
          <w:i/>
          <w:iCs/>
          <w:color w:val="222222"/>
          <w:shd w:val="clear" w:color="auto" w:fill="FFFFFF"/>
        </w:rPr>
        <w:t>Nature Climate Change</w:t>
      </w:r>
      <w:r w:rsidRPr="007333CF">
        <w:rPr>
          <w:color w:val="222222"/>
          <w:shd w:val="clear" w:color="auto" w:fill="FFFFFF"/>
        </w:rPr>
        <w:t> 6(6): 622-626.</w:t>
      </w:r>
    </w:p>
    <w:p w14:paraId="3E2B0BFE" w14:textId="13ACE66E" w:rsidR="00B46BCA" w:rsidRDefault="00B46BCA" w:rsidP="000215BF">
      <w:pPr>
        <w:spacing w:line="480" w:lineRule="auto"/>
        <w:ind w:left="720" w:hanging="720"/>
        <w:rPr>
          <w:color w:val="222222"/>
          <w:shd w:val="clear" w:color="auto" w:fill="FFFFFF"/>
        </w:rPr>
      </w:pPr>
      <w:r w:rsidRPr="007333CF">
        <w:rPr>
          <w:color w:val="222222"/>
          <w:shd w:val="clear" w:color="auto" w:fill="FFFFFF"/>
        </w:rPr>
        <w:t xml:space="preserve">Hutchinson, Mary Katherine, and Melissa A. Sutherland. 2019. Conducting </w:t>
      </w:r>
      <w:r w:rsidR="00176F46" w:rsidRPr="007333CF">
        <w:rPr>
          <w:color w:val="222222"/>
          <w:shd w:val="clear" w:color="auto" w:fill="FFFFFF"/>
        </w:rPr>
        <w:t xml:space="preserve">surveys with multidisciplinary health care providers: </w:t>
      </w:r>
      <w:r w:rsidR="00176F46">
        <w:rPr>
          <w:color w:val="222222"/>
          <w:shd w:val="clear" w:color="auto" w:fill="FFFFFF"/>
        </w:rPr>
        <w:t>C</w:t>
      </w:r>
      <w:r w:rsidR="00176F46" w:rsidRPr="007333CF">
        <w:rPr>
          <w:color w:val="222222"/>
          <w:shd w:val="clear" w:color="auto" w:fill="FFFFFF"/>
        </w:rPr>
        <w:t>urrent challenges and creative approaches to sampling, recruitment, and data collection</w:t>
      </w:r>
      <w:r w:rsidRPr="007333CF">
        <w:rPr>
          <w:color w:val="222222"/>
          <w:shd w:val="clear" w:color="auto" w:fill="FFFFFF"/>
        </w:rPr>
        <w:t>. </w:t>
      </w:r>
      <w:r w:rsidRPr="007333CF">
        <w:rPr>
          <w:i/>
          <w:iCs/>
          <w:color w:val="222222"/>
          <w:shd w:val="clear" w:color="auto" w:fill="FFFFFF"/>
        </w:rPr>
        <w:t>Research in Nursing &amp; Health</w:t>
      </w:r>
      <w:r w:rsidRPr="007333CF">
        <w:rPr>
          <w:color w:val="222222"/>
          <w:shd w:val="clear" w:color="auto" w:fill="FFFFFF"/>
        </w:rPr>
        <w:t> 42(6): 458-466.</w:t>
      </w:r>
    </w:p>
    <w:p w14:paraId="70D8F872" w14:textId="6B10C9F3" w:rsidR="007A0F33" w:rsidRPr="007333CF" w:rsidRDefault="00341A80" w:rsidP="000215BF">
      <w:pPr>
        <w:spacing w:line="480" w:lineRule="auto"/>
        <w:ind w:left="720" w:hanging="720"/>
        <w:rPr>
          <w:color w:val="222222"/>
          <w:shd w:val="clear" w:color="auto" w:fill="FFFFFF"/>
        </w:rPr>
      </w:pPr>
      <w:r>
        <w:rPr>
          <w:color w:val="222222"/>
          <w:shd w:val="clear" w:color="auto" w:fill="FFFFFF"/>
        </w:rPr>
        <w:t xml:space="preserve">Jackman, Simon, </w:t>
      </w:r>
      <w:r w:rsidR="00EB66EE">
        <w:rPr>
          <w:color w:val="222222"/>
          <w:shd w:val="clear" w:color="auto" w:fill="FFFFFF"/>
        </w:rPr>
        <w:t xml:space="preserve">and </w:t>
      </w:r>
      <w:r w:rsidR="007A0F33">
        <w:rPr>
          <w:color w:val="222222"/>
          <w:shd w:val="clear" w:color="auto" w:fill="FFFFFF"/>
        </w:rPr>
        <w:t xml:space="preserve">Bradley </w:t>
      </w:r>
      <w:proofErr w:type="spellStart"/>
      <w:r w:rsidR="007A0F33">
        <w:rPr>
          <w:color w:val="222222"/>
          <w:shd w:val="clear" w:color="auto" w:fill="FFFFFF"/>
        </w:rPr>
        <w:t>Spahn</w:t>
      </w:r>
      <w:proofErr w:type="spellEnd"/>
      <w:r w:rsidR="007A0F33">
        <w:rPr>
          <w:color w:val="222222"/>
          <w:shd w:val="clear" w:color="auto" w:fill="FFFFFF"/>
        </w:rPr>
        <w:t>. 2021. Politically</w:t>
      </w:r>
      <w:r w:rsidR="00EB66EE">
        <w:rPr>
          <w:color w:val="222222"/>
          <w:shd w:val="clear" w:color="auto" w:fill="FFFFFF"/>
        </w:rPr>
        <w:t xml:space="preserve"> i</w:t>
      </w:r>
      <w:r w:rsidR="007A0F33">
        <w:rPr>
          <w:color w:val="222222"/>
          <w:shd w:val="clear" w:color="auto" w:fill="FFFFFF"/>
        </w:rPr>
        <w:t xml:space="preserve">nvisible in America. </w:t>
      </w:r>
      <w:r w:rsidR="00B64B3E" w:rsidRPr="00EB66EE">
        <w:rPr>
          <w:i/>
          <w:iCs/>
          <w:color w:val="222222"/>
          <w:shd w:val="clear" w:color="auto" w:fill="FFFFFF"/>
        </w:rPr>
        <w:t xml:space="preserve">PS: </w:t>
      </w:r>
      <w:r w:rsidR="007A0F33" w:rsidRPr="00EB66EE">
        <w:rPr>
          <w:i/>
          <w:iCs/>
          <w:color w:val="222222"/>
          <w:shd w:val="clear" w:color="auto" w:fill="FFFFFF"/>
        </w:rPr>
        <w:t>Political Science &amp; Politics</w:t>
      </w:r>
      <w:r w:rsidR="007A0F33">
        <w:rPr>
          <w:color w:val="222222"/>
          <w:shd w:val="clear" w:color="auto" w:fill="FFFFFF"/>
        </w:rPr>
        <w:t xml:space="preserve"> 54(4): 623-629.</w:t>
      </w:r>
    </w:p>
    <w:p w14:paraId="556DC3C5" w14:textId="7E204DC2" w:rsidR="00B46BCA" w:rsidRPr="000215BF" w:rsidRDefault="00A41F3F" w:rsidP="000215BF">
      <w:pPr>
        <w:spacing w:line="480" w:lineRule="auto"/>
        <w:ind w:left="720" w:hanging="720"/>
        <w:rPr>
          <w:color w:val="222222"/>
          <w:shd w:val="clear" w:color="auto" w:fill="FFFFFF"/>
        </w:rPr>
      </w:pPr>
      <w:r w:rsidRPr="007333CF">
        <w:t xml:space="preserve">Jenkins, Clinton, Ismail White, Michael </w:t>
      </w:r>
      <w:proofErr w:type="spellStart"/>
      <w:r w:rsidRPr="007333CF">
        <w:t>Hanmer</w:t>
      </w:r>
      <w:proofErr w:type="spellEnd"/>
      <w:r w:rsidRPr="007333CF">
        <w:t xml:space="preserve">, and Antoine Banks. Forthcoming. Vote </w:t>
      </w:r>
      <w:r w:rsidR="00176F46" w:rsidRPr="007333CF">
        <w:t xml:space="preserve">overreporting while </w:t>
      </w:r>
      <w:r w:rsidR="00176F46">
        <w:t>B</w:t>
      </w:r>
      <w:r w:rsidR="00176F46" w:rsidRPr="007333CF">
        <w:t xml:space="preserve">lack: </w:t>
      </w:r>
      <w:r w:rsidR="00176F46">
        <w:t>I</w:t>
      </w:r>
      <w:r w:rsidR="00176F46" w:rsidRPr="007333CF">
        <w:t xml:space="preserve">dentifying the mechanisms behind </w:t>
      </w:r>
      <w:r w:rsidR="00176F46">
        <w:t>B</w:t>
      </w:r>
      <w:r w:rsidR="00176F46" w:rsidRPr="007333CF">
        <w:t>lack survey respondents’ vote overreporting</w:t>
      </w:r>
      <w:r w:rsidR="00FC2353" w:rsidRPr="007333CF">
        <w:t>.</w:t>
      </w:r>
      <w:r w:rsidRPr="007333CF">
        <w:t xml:space="preserve"> </w:t>
      </w:r>
      <w:r w:rsidRPr="007333CF">
        <w:rPr>
          <w:i/>
          <w:iCs/>
        </w:rPr>
        <w:t xml:space="preserve">American Politics Research. </w:t>
      </w:r>
    </w:p>
    <w:p w14:paraId="000000B2" w14:textId="38540DA1" w:rsidR="007734B8" w:rsidRPr="007333CF" w:rsidRDefault="00C77C72" w:rsidP="000215BF">
      <w:pPr>
        <w:spacing w:line="480" w:lineRule="auto"/>
        <w:ind w:left="720" w:hanging="720"/>
      </w:pPr>
      <w:r w:rsidRPr="007333CF">
        <w:t xml:space="preserve">Jones, M. Gail, Ann Howe, and Melissa J. </w:t>
      </w:r>
      <w:proofErr w:type="spellStart"/>
      <w:r w:rsidRPr="007333CF">
        <w:t>Rua</w:t>
      </w:r>
      <w:proofErr w:type="spellEnd"/>
      <w:r w:rsidRPr="007333CF">
        <w:t xml:space="preserve">. 2000. Gender </w:t>
      </w:r>
      <w:r w:rsidR="00176F46" w:rsidRPr="007333CF">
        <w:t>differences in students' experiences, interests, and attitudes toward science and scientists</w:t>
      </w:r>
      <w:r w:rsidRPr="007333CF">
        <w:t xml:space="preserve">. </w:t>
      </w:r>
      <w:r w:rsidRPr="007333CF">
        <w:rPr>
          <w:i/>
        </w:rPr>
        <w:t>Science Education</w:t>
      </w:r>
      <w:r w:rsidRPr="007333CF">
        <w:t xml:space="preserve"> 84(2): 180-192.</w:t>
      </w:r>
    </w:p>
    <w:p w14:paraId="36C5629A" w14:textId="0B9BA099" w:rsidR="00B46BCA" w:rsidRPr="007333CF" w:rsidRDefault="00B46BCA" w:rsidP="000215BF">
      <w:pPr>
        <w:spacing w:line="480" w:lineRule="auto"/>
        <w:ind w:left="720" w:hanging="720"/>
      </w:pPr>
      <w:proofErr w:type="spellStart"/>
      <w:r w:rsidRPr="007333CF">
        <w:rPr>
          <w:color w:val="222222"/>
          <w:shd w:val="clear" w:color="auto" w:fill="FFFFFF"/>
        </w:rPr>
        <w:t>Kontos</w:t>
      </w:r>
      <w:proofErr w:type="spellEnd"/>
      <w:r w:rsidRPr="007333CF">
        <w:rPr>
          <w:color w:val="222222"/>
          <w:shd w:val="clear" w:color="auto" w:fill="FFFFFF"/>
        </w:rPr>
        <w:t xml:space="preserve">, Emily Z., Karen M. Emmons, Elaine Puleo, and K. Viswanath. 2011. Determinants and </w:t>
      </w:r>
      <w:r w:rsidR="00176F46" w:rsidRPr="007333CF">
        <w:rPr>
          <w:color w:val="222222"/>
          <w:shd w:val="clear" w:color="auto" w:fill="FFFFFF"/>
        </w:rPr>
        <w:t>beliefs of health information mavens among a lower-socioeconomic position and minority popu</w:t>
      </w:r>
      <w:r w:rsidRPr="007333CF">
        <w:rPr>
          <w:color w:val="222222"/>
          <w:shd w:val="clear" w:color="auto" w:fill="FFFFFF"/>
        </w:rPr>
        <w:t>lation. </w:t>
      </w:r>
      <w:r w:rsidRPr="007333CF">
        <w:rPr>
          <w:i/>
          <w:iCs/>
          <w:color w:val="222222"/>
          <w:shd w:val="clear" w:color="auto" w:fill="FFFFFF"/>
        </w:rPr>
        <w:t>Social Science &amp; Medicine</w:t>
      </w:r>
      <w:r w:rsidRPr="007333CF">
        <w:rPr>
          <w:color w:val="222222"/>
          <w:shd w:val="clear" w:color="auto" w:fill="FFFFFF"/>
        </w:rPr>
        <w:t> 73(1): 22-32.</w:t>
      </w:r>
    </w:p>
    <w:p w14:paraId="5C72AAD2" w14:textId="6C6CCF84" w:rsidR="0024621C" w:rsidRPr="000215BF" w:rsidRDefault="0024621C" w:rsidP="000215BF">
      <w:pPr>
        <w:spacing w:line="480" w:lineRule="auto"/>
        <w:ind w:left="720" w:hanging="720"/>
        <w:rPr>
          <w:color w:val="222222"/>
          <w:shd w:val="clear" w:color="auto" w:fill="FFFFFF"/>
        </w:rPr>
      </w:pPr>
      <w:r w:rsidRPr="007333CF">
        <w:rPr>
          <w:color w:val="222222"/>
          <w:shd w:val="clear" w:color="auto" w:fill="FFFFFF"/>
        </w:rPr>
        <w:t xml:space="preserve">Krieger, Nancy, David H. </w:t>
      </w:r>
      <w:proofErr w:type="spellStart"/>
      <w:r w:rsidRPr="007333CF">
        <w:rPr>
          <w:color w:val="222222"/>
          <w:shd w:val="clear" w:color="auto" w:fill="FFFFFF"/>
        </w:rPr>
        <w:t>Rehkopf</w:t>
      </w:r>
      <w:proofErr w:type="spellEnd"/>
      <w:r w:rsidRPr="007333CF">
        <w:rPr>
          <w:color w:val="222222"/>
          <w:shd w:val="clear" w:color="auto" w:fill="FFFFFF"/>
        </w:rPr>
        <w:t xml:space="preserve">, Jarvis T. Chen, Pamela D. Waterman, Enrico </w:t>
      </w:r>
      <w:proofErr w:type="spellStart"/>
      <w:r w:rsidRPr="007333CF">
        <w:rPr>
          <w:color w:val="222222"/>
          <w:shd w:val="clear" w:color="auto" w:fill="FFFFFF"/>
        </w:rPr>
        <w:t>Marcelli</w:t>
      </w:r>
      <w:proofErr w:type="spellEnd"/>
      <w:r w:rsidRPr="007333CF">
        <w:rPr>
          <w:color w:val="222222"/>
          <w:shd w:val="clear" w:color="auto" w:fill="FFFFFF"/>
        </w:rPr>
        <w:t xml:space="preserve">, and Malinda Kennedy. 2008. The </w:t>
      </w:r>
      <w:r w:rsidR="00176F46" w:rsidRPr="007333CF">
        <w:rPr>
          <w:color w:val="222222"/>
          <w:shd w:val="clear" w:color="auto" w:fill="FFFFFF"/>
        </w:rPr>
        <w:t xml:space="preserve">fall and rise </w:t>
      </w:r>
      <w:r w:rsidRPr="007333CF">
        <w:rPr>
          <w:color w:val="222222"/>
          <w:shd w:val="clear" w:color="auto" w:fill="FFFFFF"/>
        </w:rPr>
        <w:t xml:space="preserve">of US </w:t>
      </w:r>
      <w:r w:rsidR="00176F46" w:rsidRPr="007333CF">
        <w:rPr>
          <w:color w:val="222222"/>
          <w:shd w:val="clear" w:color="auto" w:fill="FFFFFF"/>
        </w:rPr>
        <w:t>inequities in premature mortality</w:t>
      </w:r>
      <w:r w:rsidRPr="007333CF">
        <w:rPr>
          <w:color w:val="222222"/>
          <w:shd w:val="clear" w:color="auto" w:fill="FFFFFF"/>
        </w:rPr>
        <w:t>: 1960–2002. </w:t>
      </w:r>
      <w:proofErr w:type="spellStart"/>
      <w:r w:rsidRPr="007333CF">
        <w:rPr>
          <w:i/>
          <w:iCs/>
          <w:color w:val="222222"/>
          <w:shd w:val="clear" w:color="auto" w:fill="FFFFFF"/>
        </w:rPr>
        <w:t>PLoS</w:t>
      </w:r>
      <w:proofErr w:type="spellEnd"/>
      <w:r w:rsidRPr="007333CF">
        <w:rPr>
          <w:i/>
          <w:iCs/>
          <w:color w:val="222222"/>
          <w:shd w:val="clear" w:color="auto" w:fill="FFFFFF"/>
        </w:rPr>
        <w:t xml:space="preserve"> Medicine</w:t>
      </w:r>
      <w:r w:rsidRPr="007333CF">
        <w:rPr>
          <w:color w:val="222222"/>
          <w:shd w:val="clear" w:color="auto" w:fill="FFFFFF"/>
        </w:rPr>
        <w:t> 5(2): 0227-0241.</w:t>
      </w:r>
    </w:p>
    <w:p w14:paraId="5EE9CE61" w14:textId="2561F52A" w:rsidR="00ED1823" w:rsidRPr="007333CF" w:rsidRDefault="00A41F3F" w:rsidP="000215BF">
      <w:pPr>
        <w:spacing w:line="480" w:lineRule="auto"/>
        <w:ind w:left="720" w:hanging="720"/>
      </w:pPr>
      <w:r w:rsidRPr="007333CF">
        <w:t xml:space="preserve">Laird, Cheryl N., and Ismail K. White. 2020. </w:t>
      </w:r>
      <w:r w:rsidRPr="007333CF">
        <w:rPr>
          <w:i/>
          <w:iCs/>
        </w:rPr>
        <w:t xml:space="preserve">Steadfast Democrats: How </w:t>
      </w:r>
      <w:r w:rsidR="00176F46" w:rsidRPr="007333CF">
        <w:rPr>
          <w:i/>
          <w:iCs/>
        </w:rPr>
        <w:t xml:space="preserve">social forces shape </w:t>
      </w:r>
      <w:r w:rsidR="00176F46">
        <w:rPr>
          <w:i/>
          <w:iCs/>
        </w:rPr>
        <w:t>B</w:t>
      </w:r>
      <w:r w:rsidR="00176F46" w:rsidRPr="007333CF">
        <w:rPr>
          <w:i/>
          <w:iCs/>
        </w:rPr>
        <w:t>lack political behav</w:t>
      </w:r>
      <w:r w:rsidRPr="007333CF">
        <w:rPr>
          <w:i/>
          <w:iCs/>
        </w:rPr>
        <w:t xml:space="preserve">ior. </w:t>
      </w:r>
      <w:r w:rsidR="00C0659E" w:rsidRPr="007333CF">
        <w:t>Princeton University Press.</w:t>
      </w:r>
    </w:p>
    <w:p w14:paraId="50E9A07B" w14:textId="3A0709A0" w:rsidR="004847C3" w:rsidRPr="000215BF" w:rsidRDefault="00ED1823" w:rsidP="000215BF">
      <w:pPr>
        <w:spacing w:line="480" w:lineRule="auto"/>
        <w:ind w:left="720" w:hanging="720"/>
        <w:rPr>
          <w:color w:val="101010"/>
          <w:shd w:val="clear" w:color="auto" w:fill="FFFFFF"/>
        </w:rPr>
      </w:pPr>
      <w:r w:rsidRPr="007333CF">
        <w:lastRenderedPageBreak/>
        <w:t xml:space="preserve">Lee, </w:t>
      </w:r>
      <w:proofErr w:type="spellStart"/>
      <w:r w:rsidRPr="007333CF">
        <w:t>Sunghee</w:t>
      </w:r>
      <w:proofErr w:type="spellEnd"/>
      <w:r w:rsidRPr="007333CF">
        <w:t xml:space="preserve">. 2020. Health and </w:t>
      </w:r>
      <w:r w:rsidR="00176F46" w:rsidRPr="007333CF">
        <w:t xml:space="preserve">life study </w:t>
      </w:r>
      <w:r w:rsidRPr="007333CF">
        <w:t xml:space="preserve">of Koreans, United States, 2016-2018. </w:t>
      </w:r>
      <w:r w:rsidRPr="007333CF">
        <w:rPr>
          <w:i/>
          <w:iCs/>
          <w:color w:val="101010"/>
          <w:shd w:val="clear" w:color="auto" w:fill="FFFFFF"/>
        </w:rPr>
        <w:t>ICPSR</w:t>
      </w:r>
      <w:r w:rsidRPr="007333CF">
        <w:rPr>
          <w:color w:val="101010"/>
          <w:shd w:val="clear" w:color="auto" w:fill="FFFFFF"/>
        </w:rPr>
        <w:t>.</w:t>
      </w:r>
      <w:r w:rsidR="009C257B">
        <w:rPr>
          <w:color w:val="101010"/>
          <w:shd w:val="clear" w:color="auto" w:fill="FFFFFF"/>
        </w:rPr>
        <w:t xml:space="preserve"> Available from</w:t>
      </w:r>
      <w:r w:rsidRPr="007333CF">
        <w:rPr>
          <w:color w:val="101010"/>
          <w:shd w:val="clear" w:color="auto" w:fill="FFFFFF"/>
        </w:rPr>
        <w:t xml:space="preserve"> </w:t>
      </w:r>
      <w:hyperlink r:id="rId7" w:history="1">
        <w:r w:rsidR="004847C3" w:rsidRPr="00F9086D">
          <w:rPr>
            <w:rStyle w:val="Hyperlink"/>
            <w:shd w:val="clear" w:color="auto" w:fill="FFFFFF"/>
          </w:rPr>
          <w:t>doi.org/10.3886/ICPSR37635.v1</w:t>
        </w:r>
      </w:hyperlink>
    </w:p>
    <w:p w14:paraId="000000C0" w14:textId="3B090FE6" w:rsidR="007734B8" w:rsidRPr="000215BF" w:rsidRDefault="004847C3" w:rsidP="000215BF">
      <w:pPr>
        <w:spacing w:line="480" w:lineRule="auto"/>
        <w:ind w:left="720" w:hanging="720"/>
        <w:rPr>
          <w:color w:val="101010"/>
          <w:shd w:val="clear" w:color="auto" w:fill="FFFFFF"/>
        </w:rPr>
      </w:pPr>
      <w:r w:rsidRPr="00676AE3">
        <w:t xml:space="preserve">Levine, Adam Seth. </w:t>
      </w:r>
      <w:r>
        <w:t>2021.</w:t>
      </w:r>
      <w:r w:rsidRPr="00676AE3">
        <w:rPr>
          <w:bCs/>
        </w:rPr>
        <w:t xml:space="preserve"> How to </w:t>
      </w:r>
      <w:r w:rsidR="007B5BCE">
        <w:rPr>
          <w:bCs/>
        </w:rPr>
        <w:t>f</w:t>
      </w:r>
      <w:r w:rsidRPr="00676AE3">
        <w:rPr>
          <w:bCs/>
        </w:rPr>
        <w:t xml:space="preserve">orm </w:t>
      </w:r>
      <w:r w:rsidR="007B5BCE">
        <w:rPr>
          <w:bCs/>
        </w:rPr>
        <w:t>o</w:t>
      </w:r>
      <w:r w:rsidRPr="00676AE3">
        <w:rPr>
          <w:bCs/>
        </w:rPr>
        <w:t xml:space="preserve">rganizational </w:t>
      </w:r>
      <w:r w:rsidR="007B5BCE">
        <w:rPr>
          <w:bCs/>
        </w:rPr>
        <w:t>p</w:t>
      </w:r>
      <w:r w:rsidRPr="00676AE3">
        <w:rPr>
          <w:bCs/>
        </w:rPr>
        <w:t xml:space="preserve">artnerships to </w:t>
      </w:r>
      <w:r w:rsidR="007B5BCE">
        <w:rPr>
          <w:bCs/>
        </w:rPr>
        <w:t>r</w:t>
      </w:r>
      <w:r w:rsidRPr="00676AE3">
        <w:rPr>
          <w:bCs/>
        </w:rPr>
        <w:t xml:space="preserve">un </w:t>
      </w:r>
      <w:r w:rsidR="007B5BCE">
        <w:rPr>
          <w:bCs/>
        </w:rPr>
        <w:t>e</w:t>
      </w:r>
      <w:r w:rsidRPr="00676AE3">
        <w:rPr>
          <w:bCs/>
        </w:rPr>
        <w:t>xperiments</w:t>
      </w:r>
      <w:r w:rsidR="007B5BCE">
        <w:rPr>
          <w:bCs/>
        </w:rPr>
        <w:t>.</w:t>
      </w:r>
      <w:r w:rsidRPr="00676AE3">
        <w:rPr>
          <w:bCs/>
        </w:rPr>
        <w:t xml:space="preserve"> </w:t>
      </w:r>
      <w:r w:rsidRPr="00676AE3">
        <w:t xml:space="preserve">In </w:t>
      </w:r>
      <w:r w:rsidRPr="00676AE3">
        <w:rPr>
          <w:i/>
        </w:rPr>
        <w:t xml:space="preserve">Advances in </w:t>
      </w:r>
      <w:r w:rsidR="007B5BCE">
        <w:rPr>
          <w:i/>
        </w:rPr>
        <w:t>e</w:t>
      </w:r>
      <w:r w:rsidRPr="00676AE3">
        <w:rPr>
          <w:i/>
        </w:rPr>
        <w:t xml:space="preserve">xperimental </w:t>
      </w:r>
      <w:r w:rsidR="007B5BCE">
        <w:rPr>
          <w:i/>
        </w:rPr>
        <w:t>p</w:t>
      </w:r>
      <w:r w:rsidRPr="00676AE3">
        <w:rPr>
          <w:i/>
        </w:rPr>
        <w:t xml:space="preserve">olitical </w:t>
      </w:r>
      <w:r w:rsidR="007B5BCE">
        <w:rPr>
          <w:i/>
        </w:rPr>
        <w:t>s</w:t>
      </w:r>
      <w:r w:rsidRPr="00676AE3">
        <w:rPr>
          <w:i/>
        </w:rPr>
        <w:t>cience</w:t>
      </w:r>
      <w:r w:rsidR="007B5BCE">
        <w:rPr>
          <w:iCs/>
        </w:rPr>
        <w:t>, eds.</w:t>
      </w:r>
      <w:r w:rsidR="007B5BCE" w:rsidRPr="007B5BCE">
        <w:t xml:space="preserve"> </w:t>
      </w:r>
      <w:r w:rsidR="007B5BCE" w:rsidRPr="00676AE3">
        <w:t>James N. Druckman and Donald P. Green</w:t>
      </w:r>
      <w:r w:rsidRPr="00676AE3">
        <w:t>. New York: Cambridge University Press.</w:t>
      </w:r>
    </w:p>
    <w:p w14:paraId="48E32EEF" w14:textId="65B3BD0C" w:rsidR="0024621C" w:rsidRPr="007333CF" w:rsidRDefault="0024621C" w:rsidP="000215BF">
      <w:pPr>
        <w:spacing w:line="480" w:lineRule="auto"/>
        <w:ind w:left="720" w:hanging="720"/>
      </w:pPr>
      <w:r w:rsidRPr="007333CF">
        <w:t>Marsden, Peter V., and James D. Wright</w:t>
      </w:r>
      <w:r w:rsidR="001E1738" w:rsidRPr="007333CF">
        <w:t>, eds</w:t>
      </w:r>
      <w:r w:rsidRPr="007333CF">
        <w:t xml:space="preserve">. 2010. </w:t>
      </w:r>
      <w:r w:rsidRPr="007333CF">
        <w:rPr>
          <w:i/>
          <w:iCs/>
        </w:rPr>
        <w:t xml:space="preserve">Handbook of </w:t>
      </w:r>
      <w:r w:rsidR="00176F46" w:rsidRPr="007333CF">
        <w:rPr>
          <w:i/>
          <w:iCs/>
        </w:rPr>
        <w:t>survey r</w:t>
      </w:r>
      <w:r w:rsidRPr="007333CF">
        <w:rPr>
          <w:i/>
          <w:iCs/>
        </w:rPr>
        <w:t>esearch</w:t>
      </w:r>
      <w:r w:rsidRPr="007333CF">
        <w:t xml:space="preserve">. </w:t>
      </w:r>
      <w:r w:rsidR="004506B6">
        <w:t xml:space="preserve">Bingley, UK: </w:t>
      </w:r>
      <w:r w:rsidR="00823BDF" w:rsidRPr="007333CF">
        <w:t>Emerald.</w:t>
      </w:r>
    </w:p>
    <w:p w14:paraId="5B02098A" w14:textId="3B68750A" w:rsidR="00EE61A3" w:rsidRPr="007333CF" w:rsidRDefault="00EE61A3" w:rsidP="000215BF">
      <w:pPr>
        <w:spacing w:line="480" w:lineRule="auto"/>
        <w:ind w:left="720" w:hanging="720"/>
      </w:pPr>
      <w:r w:rsidRPr="007333CF">
        <w:rPr>
          <w:color w:val="303030"/>
          <w:shd w:val="clear" w:color="auto" w:fill="FFFFFF"/>
        </w:rPr>
        <w:t xml:space="preserve">Massey, Douglas S. 2011. The </w:t>
      </w:r>
      <w:r w:rsidR="00176F46">
        <w:rPr>
          <w:color w:val="303030"/>
          <w:shd w:val="clear" w:color="auto" w:fill="FFFFFF"/>
        </w:rPr>
        <w:t>Ne</w:t>
      </w:r>
      <w:r w:rsidR="00176F46" w:rsidRPr="007333CF">
        <w:rPr>
          <w:color w:val="303030"/>
          <w:shd w:val="clear" w:color="auto" w:fill="FFFFFF"/>
        </w:rPr>
        <w:t xml:space="preserve">w </w:t>
      </w:r>
      <w:r w:rsidR="00176F46">
        <w:rPr>
          <w:color w:val="303030"/>
          <w:shd w:val="clear" w:color="auto" w:fill="FFFFFF"/>
        </w:rPr>
        <w:t>I</w:t>
      </w:r>
      <w:r w:rsidR="00176F46" w:rsidRPr="007333CF">
        <w:rPr>
          <w:color w:val="303030"/>
          <w:shd w:val="clear" w:color="auto" w:fill="FFFFFF"/>
        </w:rPr>
        <w:t xml:space="preserve">mmigrant </w:t>
      </w:r>
      <w:r w:rsidR="00176F46">
        <w:rPr>
          <w:color w:val="303030"/>
          <w:shd w:val="clear" w:color="auto" w:fill="FFFFFF"/>
        </w:rPr>
        <w:t>S</w:t>
      </w:r>
      <w:r w:rsidR="00176F46" w:rsidRPr="007333CF">
        <w:rPr>
          <w:color w:val="303030"/>
          <w:shd w:val="clear" w:color="auto" w:fill="FFFFFF"/>
        </w:rPr>
        <w:t xml:space="preserve">urvey and research on </w:t>
      </w:r>
      <w:r w:rsidRPr="007333CF">
        <w:rPr>
          <w:color w:val="303030"/>
          <w:shd w:val="clear" w:color="auto" w:fill="FFFFFF"/>
        </w:rPr>
        <w:t xml:space="preserve">American </w:t>
      </w:r>
      <w:r w:rsidR="00176F46">
        <w:rPr>
          <w:color w:val="303030"/>
          <w:shd w:val="clear" w:color="auto" w:fill="FFFFFF"/>
        </w:rPr>
        <w:t>s</w:t>
      </w:r>
      <w:r w:rsidRPr="007333CF">
        <w:rPr>
          <w:color w:val="303030"/>
          <w:shd w:val="clear" w:color="auto" w:fill="FFFFFF"/>
        </w:rPr>
        <w:t>tratification. </w:t>
      </w:r>
      <w:r w:rsidRPr="007333CF">
        <w:rPr>
          <w:i/>
          <w:iCs/>
          <w:color w:val="303030"/>
        </w:rPr>
        <w:t>Social Science Research</w:t>
      </w:r>
      <w:r w:rsidRPr="007333CF">
        <w:rPr>
          <w:color w:val="303030"/>
          <w:shd w:val="clear" w:color="auto" w:fill="FFFFFF"/>
        </w:rPr>
        <w:t> </w:t>
      </w:r>
      <w:r w:rsidRPr="007333CF">
        <w:rPr>
          <w:i/>
          <w:iCs/>
          <w:color w:val="303030"/>
        </w:rPr>
        <w:t>40</w:t>
      </w:r>
      <w:r w:rsidRPr="007333CF">
        <w:rPr>
          <w:color w:val="303030"/>
          <w:shd w:val="clear" w:color="auto" w:fill="FFFFFF"/>
        </w:rPr>
        <w:t xml:space="preserve">(5): 1287–1291. </w:t>
      </w:r>
    </w:p>
    <w:p w14:paraId="720D03F5" w14:textId="315EC7E4" w:rsidR="00823BDF" w:rsidRPr="007333CF" w:rsidRDefault="00297E9F" w:rsidP="000215BF">
      <w:pPr>
        <w:spacing w:line="480" w:lineRule="auto"/>
        <w:ind w:left="720" w:hanging="720"/>
      </w:pPr>
      <w:r w:rsidRPr="007333CF">
        <w:t xml:space="preserve">McCann, James A., and Michael Jones-Correa. 2016. Key </w:t>
      </w:r>
      <w:r w:rsidR="00176F46" w:rsidRPr="007333CF">
        <w:t xml:space="preserve">design features of </w:t>
      </w:r>
      <w:r w:rsidRPr="007333CF">
        <w:t xml:space="preserve">the 2012 Latino Immigrant National Election Study. </w:t>
      </w:r>
      <w:r w:rsidRPr="007333CF">
        <w:rPr>
          <w:i/>
          <w:iCs/>
        </w:rPr>
        <w:t>RSF: Russell Sage Foundation Journal of the Social Sciences</w:t>
      </w:r>
      <w:r w:rsidRPr="007333CF">
        <w:t xml:space="preserve"> 2(3): 230-235. </w:t>
      </w:r>
    </w:p>
    <w:p w14:paraId="56AFB3D8" w14:textId="1C2745B4" w:rsidR="00297E9F" w:rsidRPr="007333CF" w:rsidRDefault="00823BDF" w:rsidP="000215BF">
      <w:pPr>
        <w:spacing w:line="480" w:lineRule="auto"/>
        <w:ind w:left="720" w:hanging="720"/>
      </w:pPr>
      <w:r w:rsidRPr="007333CF">
        <w:rPr>
          <w:color w:val="222222"/>
          <w:shd w:val="clear" w:color="auto" w:fill="FFFFFF"/>
        </w:rPr>
        <w:t xml:space="preserve">McCloud, Rachel Faulkenberry, </w:t>
      </w:r>
      <w:proofErr w:type="spellStart"/>
      <w:r w:rsidRPr="007333CF">
        <w:rPr>
          <w:color w:val="222222"/>
          <w:shd w:val="clear" w:color="auto" w:fill="FFFFFF"/>
        </w:rPr>
        <w:t>Mesfin</w:t>
      </w:r>
      <w:proofErr w:type="spellEnd"/>
      <w:r w:rsidRPr="007333CF">
        <w:rPr>
          <w:color w:val="222222"/>
          <w:shd w:val="clear" w:color="auto" w:fill="FFFFFF"/>
        </w:rPr>
        <w:t xml:space="preserve"> Awoke </w:t>
      </w:r>
      <w:proofErr w:type="spellStart"/>
      <w:r w:rsidRPr="007333CF">
        <w:rPr>
          <w:color w:val="222222"/>
          <w:shd w:val="clear" w:color="auto" w:fill="FFFFFF"/>
        </w:rPr>
        <w:t>Bekalu</w:t>
      </w:r>
      <w:proofErr w:type="spellEnd"/>
      <w:r w:rsidRPr="007333CF">
        <w:rPr>
          <w:color w:val="222222"/>
          <w:shd w:val="clear" w:color="auto" w:fill="FFFFFF"/>
        </w:rPr>
        <w:t xml:space="preserve">, Nicole Maddox, Sara J. Minsky, and </w:t>
      </w:r>
      <w:proofErr w:type="spellStart"/>
      <w:r w:rsidRPr="007333CF">
        <w:rPr>
          <w:color w:val="222222"/>
          <w:shd w:val="clear" w:color="auto" w:fill="FFFFFF"/>
        </w:rPr>
        <w:t>Kasisomayajula</w:t>
      </w:r>
      <w:proofErr w:type="spellEnd"/>
      <w:r w:rsidRPr="007333CF">
        <w:rPr>
          <w:color w:val="222222"/>
          <w:shd w:val="clear" w:color="auto" w:fill="FFFFFF"/>
        </w:rPr>
        <w:t xml:space="preserve"> Viswanath. 2019. Leveraging </w:t>
      </w:r>
      <w:r w:rsidR="0092120A" w:rsidRPr="007333CF">
        <w:rPr>
          <w:color w:val="222222"/>
          <w:shd w:val="clear" w:color="auto" w:fill="FFFFFF"/>
        </w:rPr>
        <w:t>breadth and depth:</w:t>
      </w:r>
      <w:r w:rsidR="0092120A">
        <w:rPr>
          <w:color w:val="222222"/>
          <w:shd w:val="clear" w:color="auto" w:fill="FFFFFF"/>
        </w:rPr>
        <w:t xml:space="preserve"> S</w:t>
      </w:r>
      <w:r w:rsidR="0092120A" w:rsidRPr="007333CF">
        <w:rPr>
          <w:color w:val="222222"/>
          <w:shd w:val="clear" w:color="auto" w:fill="FFFFFF"/>
        </w:rPr>
        <w:t xml:space="preserve">trategies to characterize population diversity to address cancer disparities </w:t>
      </w:r>
      <w:r w:rsidRPr="007333CF">
        <w:rPr>
          <w:color w:val="222222"/>
          <w:shd w:val="clear" w:color="auto" w:fill="FFFFFF"/>
        </w:rPr>
        <w:t xml:space="preserve">in the DF/HCC </w:t>
      </w:r>
      <w:r w:rsidR="0092120A">
        <w:rPr>
          <w:color w:val="222222"/>
          <w:shd w:val="clear" w:color="auto" w:fill="FFFFFF"/>
        </w:rPr>
        <w:t>c</w:t>
      </w:r>
      <w:r w:rsidRPr="007333CF">
        <w:rPr>
          <w:color w:val="222222"/>
          <w:shd w:val="clear" w:color="auto" w:fill="FFFFFF"/>
        </w:rPr>
        <w:t xml:space="preserve">atchment </w:t>
      </w:r>
      <w:r w:rsidR="0092120A">
        <w:rPr>
          <w:color w:val="222222"/>
          <w:shd w:val="clear" w:color="auto" w:fill="FFFFFF"/>
        </w:rPr>
        <w:t>a</w:t>
      </w:r>
      <w:r w:rsidRPr="007333CF">
        <w:rPr>
          <w:color w:val="222222"/>
          <w:shd w:val="clear" w:color="auto" w:fill="FFFFFF"/>
        </w:rPr>
        <w:t xml:space="preserve">rea. </w:t>
      </w:r>
      <w:r w:rsidRPr="007333CF">
        <w:rPr>
          <w:i/>
          <w:iCs/>
          <w:color w:val="222222"/>
          <w:shd w:val="clear" w:color="auto" w:fill="FFFFFF"/>
        </w:rPr>
        <w:t xml:space="preserve">Cancer Epidemiology, Biomarkers &amp; Prevention </w:t>
      </w:r>
      <w:r w:rsidRPr="007333CF">
        <w:rPr>
          <w:color w:val="222222"/>
          <w:shd w:val="clear" w:color="auto" w:fill="FFFFFF"/>
        </w:rPr>
        <w:t>28(3): 435-441.</w:t>
      </w:r>
    </w:p>
    <w:p w14:paraId="000000CC" w14:textId="29A9D5FF" w:rsidR="007734B8" w:rsidRPr="000215BF" w:rsidRDefault="00C77C72" w:rsidP="000215BF">
      <w:pPr>
        <w:spacing w:line="480" w:lineRule="auto"/>
        <w:ind w:left="720" w:hanging="720"/>
        <w:rPr>
          <w:highlight w:val="white"/>
        </w:rPr>
      </w:pPr>
      <w:r w:rsidRPr="007333CF">
        <w:t xml:space="preserve">Michie, Susan, Maartje M. van </w:t>
      </w:r>
      <w:proofErr w:type="spellStart"/>
      <w:r w:rsidRPr="007333CF">
        <w:t>Stralen</w:t>
      </w:r>
      <w:proofErr w:type="spellEnd"/>
      <w:r w:rsidRPr="007333CF">
        <w:t xml:space="preserve">, and Robert West. 2011. The </w:t>
      </w:r>
      <w:proofErr w:type="spellStart"/>
      <w:r w:rsidR="0092120A" w:rsidRPr="007333CF">
        <w:t>behaviour</w:t>
      </w:r>
      <w:proofErr w:type="spellEnd"/>
      <w:r w:rsidR="0092120A" w:rsidRPr="007333CF">
        <w:t xml:space="preserve"> change wheel: </w:t>
      </w:r>
      <w:r w:rsidR="0092120A">
        <w:t>A</w:t>
      </w:r>
      <w:r w:rsidR="0092120A" w:rsidRPr="007333CF">
        <w:t xml:space="preserve"> new method for </w:t>
      </w:r>
      <w:proofErr w:type="spellStart"/>
      <w:r w:rsidR="0092120A" w:rsidRPr="007333CF">
        <w:t>characterising</w:t>
      </w:r>
      <w:proofErr w:type="spellEnd"/>
      <w:r w:rsidR="0092120A" w:rsidRPr="007333CF">
        <w:t xml:space="preserve"> and designing </w:t>
      </w:r>
      <w:proofErr w:type="spellStart"/>
      <w:r w:rsidR="0092120A" w:rsidRPr="007333CF">
        <w:t>behaviour</w:t>
      </w:r>
      <w:proofErr w:type="spellEnd"/>
      <w:r w:rsidR="0092120A" w:rsidRPr="007333CF">
        <w:t xml:space="preserve"> change interventions</w:t>
      </w:r>
      <w:r w:rsidRPr="007333CF">
        <w:t xml:space="preserve">. </w:t>
      </w:r>
      <w:r w:rsidRPr="007333CF">
        <w:rPr>
          <w:i/>
        </w:rPr>
        <w:t>Implementation Science</w:t>
      </w:r>
      <w:r w:rsidRPr="007333CF">
        <w:t xml:space="preserve"> 6: 42.</w:t>
      </w:r>
    </w:p>
    <w:p w14:paraId="000000D2" w14:textId="738355AD" w:rsidR="007734B8" w:rsidRPr="007333CF" w:rsidRDefault="00C77C72" w:rsidP="000215BF">
      <w:pPr>
        <w:spacing w:line="480" w:lineRule="auto"/>
        <w:ind w:left="720" w:hanging="720"/>
      </w:pPr>
      <w:r w:rsidRPr="007333CF">
        <w:t xml:space="preserve">Nisbet, Matthew C. 2005. The </w:t>
      </w:r>
      <w:r w:rsidR="0092120A" w:rsidRPr="007333CF">
        <w:t xml:space="preserve">competition for worldviews: </w:t>
      </w:r>
      <w:r w:rsidR="007B5BCE">
        <w:t>V</w:t>
      </w:r>
      <w:r w:rsidR="0092120A" w:rsidRPr="007333CF">
        <w:t>alues, information, and public support for stem cell research</w:t>
      </w:r>
      <w:r w:rsidRPr="007333CF">
        <w:t xml:space="preserve">. </w:t>
      </w:r>
      <w:r w:rsidRPr="007333CF">
        <w:rPr>
          <w:i/>
        </w:rPr>
        <w:t>International Journal of Public Opinion Research</w:t>
      </w:r>
      <w:r w:rsidRPr="007333CF">
        <w:t xml:space="preserve"> 17(1): 90–112.</w:t>
      </w:r>
    </w:p>
    <w:p w14:paraId="7BB8B007" w14:textId="107AB6FA" w:rsidR="00436BB2" w:rsidRPr="007333CF" w:rsidRDefault="000F6E8A" w:rsidP="000215BF">
      <w:pPr>
        <w:spacing w:line="480" w:lineRule="auto"/>
        <w:ind w:left="720" w:hanging="720"/>
      </w:pPr>
      <w:r w:rsidRPr="007333CF">
        <w:rPr>
          <w:color w:val="222222"/>
          <w:shd w:val="clear" w:color="auto" w:fill="FFFFFF"/>
        </w:rPr>
        <w:lastRenderedPageBreak/>
        <w:t xml:space="preserve">Pearson, Adam R., Guadalupe A. </w:t>
      </w:r>
      <w:proofErr w:type="spellStart"/>
      <w:r w:rsidRPr="007333CF">
        <w:rPr>
          <w:color w:val="222222"/>
          <w:shd w:val="clear" w:color="auto" w:fill="FFFFFF"/>
        </w:rPr>
        <w:t>Bacio</w:t>
      </w:r>
      <w:proofErr w:type="spellEnd"/>
      <w:r w:rsidRPr="007333CF">
        <w:rPr>
          <w:color w:val="222222"/>
          <w:shd w:val="clear" w:color="auto" w:fill="FFFFFF"/>
        </w:rPr>
        <w:t xml:space="preserve">, Sarah </w:t>
      </w:r>
      <w:proofErr w:type="spellStart"/>
      <w:r w:rsidRPr="007333CF">
        <w:rPr>
          <w:color w:val="222222"/>
          <w:shd w:val="clear" w:color="auto" w:fill="FFFFFF"/>
        </w:rPr>
        <w:t>Naiman</w:t>
      </w:r>
      <w:proofErr w:type="spellEnd"/>
      <w:r w:rsidRPr="007333CF">
        <w:rPr>
          <w:color w:val="222222"/>
          <w:shd w:val="clear" w:color="auto" w:fill="FFFFFF"/>
        </w:rPr>
        <w:t>, Rainer Romero-</w:t>
      </w:r>
      <w:proofErr w:type="spellStart"/>
      <w:r w:rsidRPr="007333CF">
        <w:rPr>
          <w:color w:val="222222"/>
          <w:shd w:val="clear" w:color="auto" w:fill="FFFFFF"/>
        </w:rPr>
        <w:t>Canyas</w:t>
      </w:r>
      <w:proofErr w:type="spellEnd"/>
      <w:r w:rsidRPr="007333CF">
        <w:rPr>
          <w:color w:val="222222"/>
          <w:shd w:val="clear" w:color="auto" w:fill="FFFFFF"/>
        </w:rPr>
        <w:t xml:space="preserve">, and Jonathon P. Schuldt. 2021. Cultural </w:t>
      </w:r>
      <w:r w:rsidR="0092120A" w:rsidRPr="007333CF">
        <w:rPr>
          <w:color w:val="222222"/>
          <w:shd w:val="clear" w:color="auto" w:fill="FFFFFF"/>
        </w:rPr>
        <w:t xml:space="preserve">determinants of climate change opinion: </w:t>
      </w:r>
      <w:r w:rsidR="0092120A">
        <w:rPr>
          <w:color w:val="222222"/>
          <w:shd w:val="clear" w:color="auto" w:fill="FFFFFF"/>
        </w:rPr>
        <w:t>F</w:t>
      </w:r>
      <w:r w:rsidR="0092120A" w:rsidRPr="007333CF">
        <w:rPr>
          <w:color w:val="222222"/>
          <w:shd w:val="clear" w:color="auto" w:fill="FFFFFF"/>
        </w:rPr>
        <w:t xml:space="preserve">amilism predicts climate beliefs and policy support among </w:t>
      </w:r>
      <w:r w:rsidRPr="007333CF">
        <w:rPr>
          <w:color w:val="222222"/>
          <w:shd w:val="clear" w:color="auto" w:fill="FFFFFF"/>
        </w:rPr>
        <w:t>US Latinos. </w:t>
      </w:r>
      <w:r w:rsidRPr="007333CF">
        <w:rPr>
          <w:i/>
          <w:iCs/>
          <w:color w:val="222222"/>
          <w:shd w:val="clear" w:color="auto" w:fill="FFFFFF"/>
        </w:rPr>
        <w:t>Climatic Change</w:t>
      </w:r>
      <w:r w:rsidRPr="007333CF">
        <w:rPr>
          <w:color w:val="222222"/>
          <w:shd w:val="clear" w:color="auto" w:fill="FFFFFF"/>
        </w:rPr>
        <w:t> 167(1): 1-8.</w:t>
      </w:r>
    </w:p>
    <w:p w14:paraId="2B04C39C" w14:textId="4ECA424D" w:rsidR="00A4150F" w:rsidRPr="007333CF" w:rsidRDefault="00A4150F" w:rsidP="000215BF">
      <w:pPr>
        <w:spacing w:line="480" w:lineRule="auto"/>
        <w:ind w:left="720" w:hanging="720"/>
      </w:pPr>
      <w:r w:rsidRPr="007333CF">
        <w:rPr>
          <w:color w:val="222222"/>
          <w:shd w:val="clear" w:color="auto" w:fill="FFFFFF"/>
        </w:rPr>
        <w:t xml:space="preserve">Perry, Brea L., Brian Aronson, and Bernice A. </w:t>
      </w:r>
      <w:proofErr w:type="spellStart"/>
      <w:r w:rsidRPr="007333CF">
        <w:rPr>
          <w:color w:val="222222"/>
          <w:shd w:val="clear" w:color="auto" w:fill="FFFFFF"/>
        </w:rPr>
        <w:t>Pescosolido</w:t>
      </w:r>
      <w:proofErr w:type="spellEnd"/>
      <w:r w:rsidRPr="007333CF">
        <w:rPr>
          <w:color w:val="222222"/>
          <w:shd w:val="clear" w:color="auto" w:fill="FFFFFF"/>
        </w:rPr>
        <w:t xml:space="preserve">. 2021. Pandemic </w:t>
      </w:r>
      <w:r w:rsidR="0092120A">
        <w:rPr>
          <w:color w:val="222222"/>
          <w:shd w:val="clear" w:color="auto" w:fill="FFFFFF"/>
        </w:rPr>
        <w:t>p</w:t>
      </w:r>
      <w:r w:rsidRPr="007333CF">
        <w:rPr>
          <w:color w:val="222222"/>
          <w:shd w:val="clear" w:color="auto" w:fill="FFFFFF"/>
        </w:rPr>
        <w:t xml:space="preserve">recarity: COVID-19 is </w:t>
      </w:r>
      <w:r w:rsidR="0092120A" w:rsidRPr="007333CF">
        <w:rPr>
          <w:color w:val="222222"/>
          <w:shd w:val="clear" w:color="auto" w:fill="FFFFFF"/>
        </w:rPr>
        <w:t>exposing and exacerbating inequalities in the</w:t>
      </w:r>
      <w:r w:rsidRPr="007333CF">
        <w:rPr>
          <w:color w:val="222222"/>
          <w:shd w:val="clear" w:color="auto" w:fill="FFFFFF"/>
        </w:rPr>
        <w:t xml:space="preserve"> American </w:t>
      </w:r>
      <w:r w:rsidR="0092120A">
        <w:rPr>
          <w:color w:val="222222"/>
          <w:shd w:val="clear" w:color="auto" w:fill="FFFFFF"/>
        </w:rPr>
        <w:t>h</w:t>
      </w:r>
      <w:r w:rsidRPr="007333CF">
        <w:rPr>
          <w:color w:val="222222"/>
          <w:shd w:val="clear" w:color="auto" w:fill="FFFFFF"/>
        </w:rPr>
        <w:t>eartland. </w:t>
      </w:r>
      <w:r w:rsidRPr="007333CF">
        <w:rPr>
          <w:i/>
          <w:iCs/>
          <w:color w:val="222222"/>
          <w:shd w:val="clear" w:color="auto" w:fill="FFFFFF"/>
        </w:rPr>
        <w:t>Proceedings of the National Academy of Sciences</w:t>
      </w:r>
      <w:r w:rsidRPr="007333CF">
        <w:rPr>
          <w:color w:val="222222"/>
          <w:shd w:val="clear" w:color="auto" w:fill="FFFFFF"/>
        </w:rPr>
        <w:t> 118(8): 1-6.</w:t>
      </w:r>
    </w:p>
    <w:p w14:paraId="6E6B1258" w14:textId="405E67A1" w:rsidR="00811499" w:rsidRDefault="00811499" w:rsidP="000215BF">
      <w:pPr>
        <w:spacing w:line="480" w:lineRule="auto"/>
        <w:ind w:left="720" w:hanging="720"/>
      </w:pPr>
      <w:r w:rsidRPr="00811499">
        <w:t>Peterman, Karen, Sarah</w:t>
      </w:r>
      <w:r w:rsidR="000C718C">
        <w:t xml:space="preserve"> Garlick</w:t>
      </w:r>
      <w:r w:rsidRPr="00811499">
        <w:t>, John C.</w:t>
      </w:r>
      <w:r w:rsidR="000C718C">
        <w:t xml:space="preserve"> Besley</w:t>
      </w:r>
      <w:r w:rsidRPr="00811499">
        <w:t>, Sue</w:t>
      </w:r>
      <w:r w:rsidR="000C718C">
        <w:t xml:space="preserve"> Allen</w:t>
      </w:r>
      <w:r w:rsidRPr="00811499">
        <w:t>, Kathy</w:t>
      </w:r>
      <w:r w:rsidR="000C718C">
        <w:t xml:space="preserve"> Fallon Lambert</w:t>
      </w:r>
      <w:r w:rsidRPr="00811499">
        <w:t>, Nalini N.</w:t>
      </w:r>
      <w:r w:rsidR="000C718C">
        <w:t xml:space="preserve"> </w:t>
      </w:r>
      <w:r w:rsidR="000C718C" w:rsidRPr="00811499">
        <w:t>Nadkarni</w:t>
      </w:r>
      <w:r w:rsidRPr="00811499">
        <w:t>, Mark S</w:t>
      </w:r>
      <w:r w:rsidR="000C718C">
        <w:t xml:space="preserve"> Rosin</w:t>
      </w:r>
      <w:r w:rsidRPr="00811499">
        <w:t>, Caitlin</w:t>
      </w:r>
      <w:r w:rsidR="000C718C">
        <w:t xml:space="preserve"> Weber</w:t>
      </w:r>
      <w:r w:rsidRPr="00811499">
        <w:t>, Marissa</w:t>
      </w:r>
      <w:r w:rsidR="000C718C">
        <w:t xml:space="preserve"> Weiss</w:t>
      </w:r>
      <w:r w:rsidRPr="00811499">
        <w:t>, and Jen</w:t>
      </w:r>
      <w:r w:rsidR="000C718C">
        <w:t xml:space="preserve"> Wong</w:t>
      </w:r>
      <w:r w:rsidRPr="00811499">
        <w:t xml:space="preserve">. </w:t>
      </w:r>
      <w:r w:rsidR="007B5BCE">
        <w:t xml:space="preserve">Forthcoming. </w:t>
      </w:r>
      <w:r w:rsidRPr="00811499">
        <w:t xml:space="preserve">Boundary spanners and thinking partners: </w:t>
      </w:r>
      <w:r w:rsidR="000C718C">
        <w:t>A</w:t>
      </w:r>
      <w:r w:rsidRPr="00811499">
        <w:t xml:space="preserve">dapting and expanding the research-practice partnership literature for public engagement with science (PES). </w:t>
      </w:r>
      <w:r w:rsidRPr="00F14803">
        <w:rPr>
          <w:i/>
          <w:iCs/>
        </w:rPr>
        <w:t xml:space="preserve">JCOM </w:t>
      </w:r>
      <w:r w:rsidR="000C718C" w:rsidRPr="00F14803">
        <w:rPr>
          <w:i/>
          <w:iCs/>
        </w:rPr>
        <w:t>Journal of Science Communicatio</w:t>
      </w:r>
      <w:r w:rsidRPr="00F14803">
        <w:rPr>
          <w:i/>
          <w:iCs/>
        </w:rPr>
        <w:t>n</w:t>
      </w:r>
      <w:r w:rsidR="000C718C">
        <w:t>.</w:t>
      </w:r>
    </w:p>
    <w:p w14:paraId="72976203" w14:textId="00BA554C" w:rsidR="008A00CA" w:rsidRPr="007333CF" w:rsidRDefault="00436BB2" w:rsidP="000215BF">
      <w:pPr>
        <w:spacing w:line="480" w:lineRule="auto"/>
        <w:ind w:left="720" w:hanging="720"/>
      </w:pPr>
      <w:r w:rsidRPr="007333CF">
        <w:t xml:space="preserve">Pew Research Center. </w:t>
      </w:r>
      <w:r w:rsidR="0092120A">
        <w:t xml:space="preserve">30 August </w:t>
      </w:r>
      <w:r w:rsidRPr="007333CF">
        <w:t xml:space="preserve">2011. Muslim Americans: No </w:t>
      </w:r>
      <w:r w:rsidR="0092120A" w:rsidRPr="007333CF">
        <w:t>signs of growth in alienation or support for extremism</w:t>
      </w:r>
      <w:r w:rsidRPr="007333CF">
        <w:t xml:space="preserve">. </w:t>
      </w:r>
      <w:r w:rsidR="0092120A">
        <w:t xml:space="preserve">Available </w:t>
      </w:r>
      <w:r w:rsidR="007B5BCE">
        <w:t xml:space="preserve">from </w:t>
      </w:r>
      <w:r w:rsidRPr="007333CF">
        <w:t>www.pewresearch.org</w:t>
      </w:r>
      <w:r w:rsidR="007B5BCE">
        <w:t>.</w:t>
      </w:r>
    </w:p>
    <w:p w14:paraId="3EA716AD" w14:textId="0766F4DE" w:rsidR="00F45F77" w:rsidRPr="007333CF" w:rsidRDefault="008A00CA" w:rsidP="000215BF">
      <w:pPr>
        <w:spacing w:line="480" w:lineRule="auto"/>
        <w:ind w:left="720" w:hanging="720"/>
      </w:pPr>
      <w:r w:rsidRPr="007333CF">
        <w:t xml:space="preserve">Pew Research Center. </w:t>
      </w:r>
      <w:r w:rsidR="0092120A">
        <w:t xml:space="preserve">19 June </w:t>
      </w:r>
      <w:r w:rsidRPr="007333CF">
        <w:t xml:space="preserve">2012. The </w:t>
      </w:r>
      <w:r w:rsidR="0092120A">
        <w:t>r</w:t>
      </w:r>
      <w:r w:rsidRPr="007333CF">
        <w:t xml:space="preserve">ise of Asian Americans. </w:t>
      </w:r>
      <w:r w:rsidRPr="007333CF">
        <w:rPr>
          <w:i/>
          <w:iCs/>
        </w:rPr>
        <w:t>Pew Social and Demographic Trends</w:t>
      </w:r>
      <w:r w:rsidR="0092120A">
        <w:t xml:space="preserve">. </w:t>
      </w:r>
      <w:r w:rsidR="007B5BCE">
        <w:t xml:space="preserve">Available from </w:t>
      </w:r>
      <w:r w:rsidR="007B5BCE" w:rsidRPr="007333CF">
        <w:t>www.pewresearch.org</w:t>
      </w:r>
      <w:r w:rsidR="007B5BCE">
        <w:t>.</w:t>
      </w:r>
      <w:r w:rsidR="007B5BCE" w:rsidRPr="007333CF">
        <w:t xml:space="preserve"> </w:t>
      </w:r>
    </w:p>
    <w:p w14:paraId="0C8C6B29" w14:textId="13CC9B3B" w:rsidR="007B5BCE" w:rsidRPr="000215BF" w:rsidRDefault="00F45F77" w:rsidP="000215BF">
      <w:pPr>
        <w:spacing w:line="480" w:lineRule="auto"/>
        <w:ind w:left="720" w:hanging="720"/>
      </w:pPr>
      <w:r w:rsidRPr="007333CF">
        <w:t xml:space="preserve">Pew Research Center. </w:t>
      </w:r>
      <w:r w:rsidR="0092120A">
        <w:t xml:space="preserve">26 July </w:t>
      </w:r>
      <w:r w:rsidRPr="007333CF">
        <w:t xml:space="preserve">2017. </w:t>
      </w:r>
      <w:r w:rsidR="00F662BF" w:rsidRPr="007333CF">
        <w:t xml:space="preserve">U.S. Muslims </w:t>
      </w:r>
      <w:r w:rsidR="0092120A" w:rsidRPr="007333CF">
        <w:t xml:space="preserve">concerned about their place in </w:t>
      </w:r>
      <w:proofErr w:type="gramStart"/>
      <w:r w:rsidR="0092120A" w:rsidRPr="007333CF">
        <w:t>society, but</w:t>
      </w:r>
      <w:proofErr w:type="gramEnd"/>
      <w:r w:rsidR="0092120A" w:rsidRPr="007333CF">
        <w:t xml:space="preserve"> continue to believe in th</w:t>
      </w:r>
      <w:r w:rsidR="00F662BF" w:rsidRPr="007333CF">
        <w:t xml:space="preserve">e American </w:t>
      </w:r>
      <w:r w:rsidR="0092120A">
        <w:t>d</w:t>
      </w:r>
      <w:r w:rsidR="00F662BF" w:rsidRPr="007333CF">
        <w:t xml:space="preserve">ream. </w:t>
      </w:r>
      <w:r w:rsidR="007B5BCE">
        <w:t xml:space="preserve">Available from </w:t>
      </w:r>
      <w:r w:rsidR="007B5BCE" w:rsidRPr="007333CF">
        <w:t>www.pewresearch.org</w:t>
      </w:r>
      <w:r w:rsidR="007B5BCE">
        <w:t xml:space="preserve">. </w:t>
      </w:r>
    </w:p>
    <w:p w14:paraId="7A447688" w14:textId="2B6BD65A" w:rsidR="00501C93" w:rsidRPr="007333CF" w:rsidRDefault="00C77C72" w:rsidP="000215BF">
      <w:pPr>
        <w:spacing w:line="480" w:lineRule="auto"/>
        <w:ind w:left="720" w:hanging="720"/>
        <w:rPr>
          <w:color w:val="000000"/>
        </w:rPr>
      </w:pPr>
      <w:r w:rsidRPr="007333CF">
        <w:rPr>
          <w:color w:val="000000"/>
        </w:rPr>
        <w:t xml:space="preserve">Plutzer, Eric. 2013. </w:t>
      </w:r>
      <w:r w:rsidR="007B5BCE">
        <w:rPr>
          <w:color w:val="000000"/>
        </w:rPr>
        <w:t>T</w:t>
      </w:r>
      <w:r w:rsidRPr="007333CF">
        <w:rPr>
          <w:color w:val="000000"/>
        </w:rPr>
        <w:t xml:space="preserve">he </w:t>
      </w:r>
      <w:r w:rsidR="0092120A" w:rsidRPr="007333CF">
        <w:rPr>
          <w:color w:val="000000"/>
        </w:rPr>
        <w:t xml:space="preserve">racial gap in confidence in science: </w:t>
      </w:r>
      <w:r w:rsidR="0092120A">
        <w:rPr>
          <w:color w:val="000000"/>
        </w:rPr>
        <w:t>E</w:t>
      </w:r>
      <w:r w:rsidR="0092120A" w:rsidRPr="007333CF">
        <w:rPr>
          <w:color w:val="000000"/>
        </w:rPr>
        <w:t>xplanations and implications</w:t>
      </w:r>
      <w:r w:rsidRPr="007333CF">
        <w:rPr>
          <w:color w:val="000000"/>
        </w:rPr>
        <w:t xml:space="preserve">. </w:t>
      </w:r>
      <w:r w:rsidRPr="007333CF">
        <w:rPr>
          <w:i/>
          <w:color w:val="000000"/>
        </w:rPr>
        <w:t>Bulletin of Science, Technology &amp; Society</w:t>
      </w:r>
      <w:r w:rsidRPr="007333CF">
        <w:rPr>
          <w:color w:val="000000"/>
        </w:rPr>
        <w:t xml:space="preserve"> 33(5-6): 146-157. </w:t>
      </w:r>
    </w:p>
    <w:p w14:paraId="5F1AB08C" w14:textId="630B0775" w:rsidR="001D2012" w:rsidRPr="000215BF" w:rsidRDefault="001D2012" w:rsidP="000215BF">
      <w:pPr>
        <w:spacing w:line="480" w:lineRule="auto"/>
        <w:ind w:left="720" w:hanging="720"/>
        <w:rPr>
          <w:color w:val="222222"/>
          <w:shd w:val="clear" w:color="auto" w:fill="FFFFFF"/>
        </w:rPr>
      </w:pPr>
      <w:proofErr w:type="spellStart"/>
      <w:r w:rsidRPr="001D2012">
        <w:t>Premachandra</w:t>
      </w:r>
      <w:proofErr w:type="spellEnd"/>
      <w:r w:rsidRPr="001D2012">
        <w:t xml:space="preserve">, </w:t>
      </w:r>
      <w:proofErr w:type="spellStart"/>
      <w:r w:rsidRPr="001D2012">
        <w:t>B</w:t>
      </w:r>
      <w:r>
        <w:t>harathy</w:t>
      </w:r>
      <w:proofErr w:type="spellEnd"/>
      <w:r>
        <w:t xml:space="preserve">, and Neil A. </w:t>
      </w:r>
      <w:r w:rsidRPr="001D2012">
        <w:t>Lewis</w:t>
      </w:r>
      <w:r>
        <w:t>,</w:t>
      </w:r>
      <w:r w:rsidRPr="001D2012">
        <w:t xml:space="preserve"> Jr. 2021. Do </w:t>
      </w:r>
      <w:r w:rsidR="00643038">
        <w:t>w</w:t>
      </w:r>
      <w:r w:rsidRPr="001D2012">
        <w:t xml:space="preserve">e </w:t>
      </w:r>
      <w:r w:rsidR="00643038">
        <w:t>r</w:t>
      </w:r>
      <w:r w:rsidRPr="001D2012">
        <w:t xml:space="preserve">eport the </w:t>
      </w:r>
      <w:r w:rsidR="00643038">
        <w:t>i</w:t>
      </w:r>
      <w:r w:rsidRPr="001D2012">
        <w:t xml:space="preserve">nformation that is </w:t>
      </w:r>
      <w:r w:rsidR="00643038">
        <w:t>n</w:t>
      </w:r>
      <w:r w:rsidRPr="001D2012">
        <w:t xml:space="preserve">ecessary to </w:t>
      </w:r>
      <w:r w:rsidR="00643038">
        <w:t>g</w:t>
      </w:r>
      <w:r w:rsidRPr="001D2012">
        <w:t xml:space="preserve">ive </w:t>
      </w:r>
      <w:r w:rsidR="00643038">
        <w:t>p</w:t>
      </w:r>
      <w:r w:rsidRPr="001D2012">
        <w:t xml:space="preserve">sychology </w:t>
      </w:r>
      <w:r w:rsidR="00643038">
        <w:t>a</w:t>
      </w:r>
      <w:r w:rsidRPr="001D2012">
        <w:t xml:space="preserve">way? A </w:t>
      </w:r>
      <w:r w:rsidR="00643038">
        <w:t>s</w:t>
      </w:r>
      <w:r w:rsidRPr="001D2012">
        <w:t xml:space="preserve">coping </w:t>
      </w:r>
      <w:r w:rsidR="00643038">
        <w:t>r</w:t>
      </w:r>
      <w:r w:rsidRPr="001D2012">
        <w:t xml:space="preserve">eview of the </w:t>
      </w:r>
      <w:r w:rsidR="00643038">
        <w:t>p</w:t>
      </w:r>
      <w:r w:rsidRPr="001D2012">
        <w:t xml:space="preserve">sychological </w:t>
      </w:r>
      <w:r w:rsidR="00643038">
        <w:t>i</w:t>
      </w:r>
      <w:r w:rsidRPr="001D2012">
        <w:t xml:space="preserve">ntervention </w:t>
      </w:r>
      <w:r w:rsidR="00643038">
        <w:t>l</w:t>
      </w:r>
      <w:r w:rsidRPr="001D2012">
        <w:t>iterature 2000-2018. </w:t>
      </w:r>
      <w:r w:rsidRPr="00405B42">
        <w:rPr>
          <w:i/>
          <w:iCs/>
        </w:rPr>
        <w:t>Perspectives on Psychological Science.</w:t>
      </w:r>
    </w:p>
    <w:p w14:paraId="000000DE" w14:textId="392A0402" w:rsidR="007734B8" w:rsidRPr="007333CF" w:rsidRDefault="00501C93" w:rsidP="000215BF">
      <w:pPr>
        <w:spacing w:line="480" w:lineRule="auto"/>
        <w:ind w:left="720" w:hanging="720"/>
        <w:rPr>
          <w:color w:val="000000"/>
        </w:rPr>
      </w:pPr>
      <w:r w:rsidRPr="007333CF">
        <w:rPr>
          <w:color w:val="000000"/>
        </w:rPr>
        <w:lastRenderedPageBreak/>
        <w:t xml:space="preserve">PRRI. </w:t>
      </w:r>
      <w:r w:rsidR="0092120A">
        <w:rPr>
          <w:color w:val="000000"/>
        </w:rPr>
        <w:t xml:space="preserve">18 November </w:t>
      </w:r>
      <w:r w:rsidRPr="007333CF">
        <w:rPr>
          <w:color w:val="000000"/>
        </w:rPr>
        <w:t xml:space="preserve">2019. The </w:t>
      </w:r>
      <w:r w:rsidR="0092120A" w:rsidRPr="007333CF">
        <w:rPr>
          <w:color w:val="000000"/>
        </w:rPr>
        <w:t xml:space="preserve">working lives and struggles </w:t>
      </w:r>
      <w:r w:rsidRPr="007333CF">
        <w:rPr>
          <w:color w:val="000000"/>
        </w:rPr>
        <w:t>of Asian Americans and Pacific Islanders in California.</w:t>
      </w:r>
      <w:r w:rsidR="0092120A">
        <w:rPr>
          <w:color w:val="000000"/>
        </w:rPr>
        <w:t xml:space="preserve"> Available from </w:t>
      </w:r>
      <w:r w:rsidRPr="007333CF">
        <w:rPr>
          <w:color w:val="000000"/>
        </w:rPr>
        <w:t>www.prri.org</w:t>
      </w:r>
      <w:r w:rsidR="00026534">
        <w:rPr>
          <w:color w:val="000000"/>
        </w:rPr>
        <w:t>.</w:t>
      </w:r>
    </w:p>
    <w:p w14:paraId="000000E6" w14:textId="1BE8A37C" w:rsidR="007734B8" w:rsidRPr="000215BF" w:rsidRDefault="00C77C72" w:rsidP="000215BF">
      <w:pPr>
        <w:spacing w:line="480" w:lineRule="auto"/>
        <w:ind w:left="720" w:hanging="720"/>
        <w:rPr>
          <w:color w:val="1C1D1E"/>
        </w:rPr>
      </w:pPr>
      <w:r w:rsidRPr="007333CF">
        <w:t xml:space="preserve">Safford, Hugh D., Sarah C. Sawyer, Susan D. Kocher, J. Kevin </w:t>
      </w:r>
      <w:proofErr w:type="spellStart"/>
      <w:r w:rsidRPr="007333CF">
        <w:t>Hier</w:t>
      </w:r>
      <w:proofErr w:type="spellEnd"/>
      <w:r w:rsidRPr="007333CF">
        <w:t xml:space="preserve">, and Molly Cross. 2017. Linking </w:t>
      </w:r>
      <w:r w:rsidR="0092120A" w:rsidRPr="007333CF">
        <w:t xml:space="preserve">knowledge to action: </w:t>
      </w:r>
      <w:r w:rsidR="0092120A">
        <w:t>T</w:t>
      </w:r>
      <w:r w:rsidR="0092120A" w:rsidRPr="007333CF">
        <w:t>he role of boundary spanners in translating ecology</w:t>
      </w:r>
      <w:r w:rsidRPr="007333CF">
        <w:t>.</w:t>
      </w:r>
      <w:r w:rsidRPr="007333CF">
        <w:rPr>
          <w:i/>
          <w:color w:val="424242"/>
        </w:rPr>
        <w:t xml:space="preserve"> </w:t>
      </w:r>
      <w:r w:rsidRPr="00F465E8">
        <w:rPr>
          <w:i/>
          <w:color w:val="000000" w:themeColor="text1"/>
        </w:rPr>
        <w:t>Frontiers in Ecology and the Environment</w:t>
      </w:r>
      <w:r w:rsidRPr="00F465E8">
        <w:rPr>
          <w:color w:val="000000" w:themeColor="text1"/>
        </w:rPr>
        <w:t xml:space="preserve"> </w:t>
      </w:r>
      <w:r w:rsidRPr="007333CF">
        <w:rPr>
          <w:color w:val="1C1D1E"/>
        </w:rPr>
        <w:t>15: 560-568.</w:t>
      </w:r>
    </w:p>
    <w:p w14:paraId="178F47D4" w14:textId="46D48EF5" w:rsidR="0090130E" w:rsidRPr="000215BF" w:rsidRDefault="00C176E7" w:rsidP="000215BF">
      <w:pPr>
        <w:spacing w:line="480" w:lineRule="auto"/>
        <w:ind w:left="720" w:hanging="720"/>
      </w:pPr>
      <w:proofErr w:type="spellStart"/>
      <w:r w:rsidRPr="007333CF">
        <w:rPr>
          <w:color w:val="222222"/>
          <w:shd w:val="clear" w:color="auto" w:fill="FFFFFF"/>
        </w:rPr>
        <w:t>Salganik</w:t>
      </w:r>
      <w:proofErr w:type="spellEnd"/>
      <w:r w:rsidRPr="007333CF">
        <w:rPr>
          <w:color w:val="222222"/>
          <w:shd w:val="clear" w:color="auto" w:fill="FFFFFF"/>
        </w:rPr>
        <w:t xml:space="preserve">, Matthew J., and Douglas D. </w:t>
      </w:r>
      <w:proofErr w:type="spellStart"/>
      <w:r w:rsidRPr="007333CF">
        <w:rPr>
          <w:color w:val="222222"/>
          <w:shd w:val="clear" w:color="auto" w:fill="FFFFFF"/>
        </w:rPr>
        <w:t>Heckathorn</w:t>
      </w:r>
      <w:proofErr w:type="spellEnd"/>
      <w:r w:rsidRPr="007333CF">
        <w:rPr>
          <w:color w:val="222222"/>
          <w:shd w:val="clear" w:color="auto" w:fill="FFFFFF"/>
        </w:rPr>
        <w:t xml:space="preserve">. 2004. Sampling and </w:t>
      </w:r>
      <w:r w:rsidR="0092120A" w:rsidRPr="007333CF">
        <w:rPr>
          <w:color w:val="222222"/>
          <w:shd w:val="clear" w:color="auto" w:fill="FFFFFF"/>
        </w:rPr>
        <w:t>estimation in hidden populations using respondent‐driven sampling</w:t>
      </w:r>
      <w:r w:rsidRPr="007333CF">
        <w:rPr>
          <w:color w:val="222222"/>
          <w:shd w:val="clear" w:color="auto" w:fill="FFFFFF"/>
        </w:rPr>
        <w:t>. </w:t>
      </w:r>
      <w:r w:rsidRPr="007333CF">
        <w:rPr>
          <w:i/>
          <w:iCs/>
          <w:color w:val="222222"/>
          <w:shd w:val="clear" w:color="auto" w:fill="FFFFFF"/>
        </w:rPr>
        <w:t>Sociological Methodology</w:t>
      </w:r>
      <w:r w:rsidRPr="007333CF">
        <w:rPr>
          <w:color w:val="222222"/>
          <w:shd w:val="clear" w:color="auto" w:fill="FFFFFF"/>
        </w:rPr>
        <w:t> 34(1): 193-240.</w:t>
      </w:r>
    </w:p>
    <w:p w14:paraId="253E9D83" w14:textId="637D2EB5" w:rsidR="00C176E7" w:rsidRPr="004506B6" w:rsidRDefault="00C176E7" w:rsidP="000215BF">
      <w:pPr>
        <w:spacing w:line="480" w:lineRule="auto"/>
        <w:ind w:left="720" w:hanging="720"/>
        <w:rPr>
          <w:color w:val="000000"/>
        </w:rPr>
      </w:pPr>
      <w:r w:rsidRPr="007333CF">
        <w:rPr>
          <w:color w:val="222222"/>
          <w:shd w:val="clear" w:color="auto" w:fill="FFFFFF"/>
        </w:rPr>
        <w:t xml:space="preserve">Schuldt, Jonathon P., </w:t>
      </w:r>
      <w:proofErr w:type="spellStart"/>
      <w:r w:rsidRPr="007333CF">
        <w:rPr>
          <w:color w:val="222222"/>
          <w:shd w:val="clear" w:color="auto" w:fill="FFFFFF"/>
        </w:rPr>
        <w:t>Sungjong</w:t>
      </w:r>
      <w:proofErr w:type="spellEnd"/>
      <w:r w:rsidRPr="007333CF">
        <w:rPr>
          <w:color w:val="222222"/>
          <w:shd w:val="clear" w:color="auto" w:fill="FFFFFF"/>
        </w:rPr>
        <w:t xml:space="preserve"> </w:t>
      </w:r>
      <w:proofErr w:type="spellStart"/>
      <w:r w:rsidRPr="007333CF">
        <w:rPr>
          <w:color w:val="222222"/>
          <w:shd w:val="clear" w:color="auto" w:fill="FFFFFF"/>
        </w:rPr>
        <w:t>Roh</w:t>
      </w:r>
      <w:proofErr w:type="spellEnd"/>
      <w:r w:rsidRPr="007333CF">
        <w:rPr>
          <w:color w:val="222222"/>
          <w:shd w:val="clear" w:color="auto" w:fill="FFFFFF"/>
        </w:rPr>
        <w:t>, and Norbert Schwarz. 2015. Questionnaire</w:t>
      </w:r>
      <w:r w:rsidR="0092120A" w:rsidRPr="007333CF">
        <w:rPr>
          <w:color w:val="222222"/>
          <w:shd w:val="clear" w:color="auto" w:fill="FFFFFF"/>
        </w:rPr>
        <w:t xml:space="preserve"> design effects in climate change surveys: </w:t>
      </w:r>
      <w:r w:rsidR="0092120A">
        <w:rPr>
          <w:color w:val="222222"/>
          <w:shd w:val="clear" w:color="auto" w:fill="FFFFFF"/>
        </w:rPr>
        <w:t>I</w:t>
      </w:r>
      <w:r w:rsidR="0092120A" w:rsidRPr="007333CF">
        <w:rPr>
          <w:color w:val="222222"/>
          <w:shd w:val="clear" w:color="auto" w:fill="FFFFFF"/>
        </w:rPr>
        <w:t>mplications for the partisan di</w:t>
      </w:r>
      <w:r w:rsidRPr="007333CF">
        <w:rPr>
          <w:color w:val="222222"/>
          <w:shd w:val="clear" w:color="auto" w:fill="FFFFFF"/>
        </w:rPr>
        <w:t>vide. </w:t>
      </w:r>
      <w:r w:rsidRPr="007333CF">
        <w:rPr>
          <w:i/>
          <w:iCs/>
          <w:color w:val="222222"/>
          <w:shd w:val="clear" w:color="auto" w:fill="FFFFFF"/>
        </w:rPr>
        <w:t xml:space="preserve">The ANNALS of the </w:t>
      </w:r>
      <w:r w:rsidRPr="004506B6">
        <w:rPr>
          <w:i/>
          <w:iCs/>
          <w:color w:val="222222"/>
          <w:shd w:val="clear" w:color="auto" w:fill="FFFFFF"/>
        </w:rPr>
        <w:t>American Academy of Political and Social Science</w:t>
      </w:r>
      <w:r w:rsidRPr="004506B6">
        <w:rPr>
          <w:color w:val="222222"/>
          <w:shd w:val="clear" w:color="auto" w:fill="FFFFFF"/>
        </w:rPr>
        <w:t> 658(1): 67-85.</w:t>
      </w:r>
    </w:p>
    <w:p w14:paraId="05CA2D13" w14:textId="5475D08F" w:rsidR="004506B6" w:rsidRPr="000215BF" w:rsidRDefault="004506B6" w:rsidP="000215BF">
      <w:pPr>
        <w:spacing w:line="480" w:lineRule="auto"/>
        <w:ind w:left="720" w:hanging="720"/>
        <w:rPr>
          <w:color w:val="222222"/>
          <w:shd w:val="clear" w:color="auto" w:fill="FFFFFF"/>
        </w:rPr>
      </w:pPr>
      <w:r w:rsidRPr="004506B6">
        <w:rPr>
          <w:color w:val="222222"/>
          <w:shd w:val="clear" w:color="auto" w:fill="FFFFFF"/>
        </w:rPr>
        <w:t xml:space="preserve">Smith, Tom W. 2010. Surveying </w:t>
      </w:r>
      <w:r w:rsidR="0092120A" w:rsidRPr="004506B6">
        <w:rPr>
          <w:color w:val="222222"/>
          <w:shd w:val="clear" w:color="auto" w:fill="FFFFFF"/>
        </w:rPr>
        <w:t>across nations and culture</w:t>
      </w:r>
      <w:r w:rsidRPr="004506B6">
        <w:rPr>
          <w:color w:val="222222"/>
          <w:shd w:val="clear" w:color="auto" w:fill="FFFFFF"/>
        </w:rPr>
        <w:t xml:space="preserve">. In </w:t>
      </w:r>
      <w:r w:rsidRPr="004506B6">
        <w:rPr>
          <w:i/>
          <w:iCs/>
          <w:color w:val="222222"/>
          <w:shd w:val="clear" w:color="auto" w:fill="FFFFFF"/>
        </w:rPr>
        <w:t xml:space="preserve">Handbook of </w:t>
      </w:r>
      <w:r w:rsidR="0092120A" w:rsidRPr="004506B6">
        <w:rPr>
          <w:i/>
          <w:iCs/>
          <w:color w:val="222222"/>
          <w:shd w:val="clear" w:color="auto" w:fill="FFFFFF"/>
        </w:rPr>
        <w:t>survey re</w:t>
      </w:r>
      <w:r w:rsidRPr="004506B6">
        <w:rPr>
          <w:i/>
          <w:iCs/>
          <w:color w:val="222222"/>
          <w:shd w:val="clear" w:color="auto" w:fill="FFFFFF"/>
        </w:rPr>
        <w:t>search</w:t>
      </w:r>
      <w:r w:rsidRPr="004506B6">
        <w:rPr>
          <w:color w:val="222222"/>
          <w:shd w:val="clear" w:color="auto" w:fill="FFFFFF"/>
        </w:rPr>
        <w:t>, eds. Peter V. Marsden and James D. Wright. Bingley, UK: Emerald.</w:t>
      </w:r>
    </w:p>
    <w:p w14:paraId="474A347D" w14:textId="46CEF2FD" w:rsidR="00C176E7" w:rsidRPr="000215BF" w:rsidRDefault="00C176E7" w:rsidP="000215BF">
      <w:pPr>
        <w:spacing w:line="480" w:lineRule="auto"/>
        <w:ind w:left="720" w:hanging="720"/>
        <w:rPr>
          <w:color w:val="222222"/>
          <w:shd w:val="clear" w:color="auto" w:fill="FFFFFF"/>
        </w:rPr>
      </w:pPr>
      <w:r w:rsidRPr="007333CF">
        <w:rPr>
          <w:color w:val="222222"/>
          <w:shd w:val="clear" w:color="auto" w:fill="FFFFFF"/>
        </w:rPr>
        <w:t xml:space="preserve">Smith Jr., William James, </w:t>
      </w:r>
      <w:proofErr w:type="spellStart"/>
      <w:r w:rsidRPr="007333CF">
        <w:rPr>
          <w:color w:val="222222"/>
          <w:shd w:val="clear" w:color="auto" w:fill="FFFFFF"/>
        </w:rPr>
        <w:t>Zhongwei</w:t>
      </w:r>
      <w:proofErr w:type="spellEnd"/>
      <w:r w:rsidRPr="007333CF">
        <w:rPr>
          <w:color w:val="222222"/>
          <w:shd w:val="clear" w:color="auto" w:fill="FFFFFF"/>
        </w:rPr>
        <w:t xml:space="preserve"> Liu, Ahmad Saleh Safi, and </w:t>
      </w:r>
      <w:proofErr w:type="spellStart"/>
      <w:r w:rsidRPr="007333CF">
        <w:rPr>
          <w:color w:val="222222"/>
          <w:shd w:val="clear" w:color="auto" w:fill="FFFFFF"/>
        </w:rPr>
        <w:t>Karletta</w:t>
      </w:r>
      <w:proofErr w:type="spellEnd"/>
      <w:r w:rsidRPr="007333CF">
        <w:rPr>
          <w:color w:val="222222"/>
          <w:shd w:val="clear" w:color="auto" w:fill="FFFFFF"/>
        </w:rPr>
        <w:t xml:space="preserve"> Chief. 2014. Climate </w:t>
      </w:r>
      <w:r w:rsidR="0092120A" w:rsidRPr="007333CF">
        <w:rPr>
          <w:color w:val="222222"/>
          <w:shd w:val="clear" w:color="auto" w:fill="FFFFFF"/>
        </w:rPr>
        <w:t xml:space="preserve">change perception, </w:t>
      </w:r>
      <w:proofErr w:type="gramStart"/>
      <w:r w:rsidR="0092120A" w:rsidRPr="007333CF">
        <w:rPr>
          <w:color w:val="222222"/>
          <w:shd w:val="clear" w:color="auto" w:fill="FFFFFF"/>
        </w:rPr>
        <w:t>observation</w:t>
      </w:r>
      <w:proofErr w:type="gramEnd"/>
      <w:r w:rsidR="0092120A" w:rsidRPr="007333CF">
        <w:rPr>
          <w:color w:val="222222"/>
          <w:shd w:val="clear" w:color="auto" w:fill="FFFFFF"/>
        </w:rPr>
        <w:t xml:space="preserve"> and policy support in rural </w:t>
      </w:r>
      <w:r w:rsidR="0092120A">
        <w:rPr>
          <w:color w:val="222222"/>
          <w:shd w:val="clear" w:color="auto" w:fill="FFFFFF"/>
        </w:rPr>
        <w:t>N</w:t>
      </w:r>
      <w:r w:rsidR="0092120A" w:rsidRPr="007333CF">
        <w:rPr>
          <w:color w:val="222222"/>
          <w:shd w:val="clear" w:color="auto" w:fill="FFFFFF"/>
        </w:rPr>
        <w:t xml:space="preserve">evada: </w:t>
      </w:r>
      <w:r w:rsidR="0092120A">
        <w:rPr>
          <w:color w:val="222222"/>
          <w:shd w:val="clear" w:color="auto" w:fill="FFFFFF"/>
        </w:rPr>
        <w:t>A</w:t>
      </w:r>
      <w:r w:rsidR="0092120A" w:rsidRPr="007333CF">
        <w:rPr>
          <w:color w:val="222222"/>
          <w:shd w:val="clear" w:color="auto" w:fill="FFFFFF"/>
        </w:rPr>
        <w:t xml:space="preserve"> comparative analysis of </w:t>
      </w:r>
      <w:r w:rsidR="0092120A">
        <w:rPr>
          <w:color w:val="222222"/>
          <w:shd w:val="clear" w:color="auto" w:fill="FFFFFF"/>
        </w:rPr>
        <w:t>N</w:t>
      </w:r>
      <w:r w:rsidR="0092120A" w:rsidRPr="007333CF">
        <w:rPr>
          <w:color w:val="222222"/>
          <w:shd w:val="clear" w:color="auto" w:fill="FFFFFF"/>
        </w:rPr>
        <w:t xml:space="preserve">ative </w:t>
      </w:r>
      <w:r w:rsidR="0092120A">
        <w:rPr>
          <w:color w:val="222222"/>
          <w:shd w:val="clear" w:color="auto" w:fill="FFFFFF"/>
        </w:rPr>
        <w:t>A</w:t>
      </w:r>
      <w:r w:rsidR="0092120A" w:rsidRPr="007333CF">
        <w:rPr>
          <w:color w:val="222222"/>
          <w:shd w:val="clear" w:color="auto" w:fill="FFFFFF"/>
        </w:rPr>
        <w:t xml:space="preserve">mericans, non-native ranchers and farmers and mainstream </w:t>
      </w:r>
      <w:r w:rsidRPr="007333CF">
        <w:rPr>
          <w:color w:val="222222"/>
          <w:shd w:val="clear" w:color="auto" w:fill="FFFFFF"/>
        </w:rPr>
        <w:t>America. </w:t>
      </w:r>
      <w:r w:rsidRPr="007333CF">
        <w:rPr>
          <w:i/>
          <w:iCs/>
          <w:color w:val="222222"/>
          <w:shd w:val="clear" w:color="auto" w:fill="FFFFFF"/>
        </w:rPr>
        <w:t>Environmental Science &amp; Policy</w:t>
      </w:r>
      <w:r w:rsidRPr="007333CF">
        <w:rPr>
          <w:color w:val="222222"/>
          <w:shd w:val="clear" w:color="auto" w:fill="FFFFFF"/>
        </w:rPr>
        <w:t> 42: 101-122.</w:t>
      </w:r>
    </w:p>
    <w:p w14:paraId="000000F8" w14:textId="0C4CA31D" w:rsidR="007734B8" w:rsidRPr="000215BF" w:rsidRDefault="00C77C72" w:rsidP="000215BF">
      <w:pPr>
        <w:spacing w:line="480" w:lineRule="auto"/>
        <w:ind w:left="720" w:hanging="720"/>
        <w:rPr>
          <w:color w:val="000000"/>
        </w:rPr>
      </w:pPr>
      <w:r w:rsidRPr="007333CF">
        <w:t xml:space="preserve">Song, </w:t>
      </w:r>
      <w:proofErr w:type="spellStart"/>
      <w:r w:rsidRPr="007333CF">
        <w:t>Hwanseok</w:t>
      </w:r>
      <w:proofErr w:type="spellEnd"/>
      <w:r w:rsidRPr="007333CF">
        <w:t xml:space="preserve">, Neil A. Lewis, Jr., Matthew T. Ballew, Mario Bravo, Julie Davydova, H. Oliver Gao, Robert Garcia, Sofia </w:t>
      </w:r>
      <w:proofErr w:type="spellStart"/>
      <w:r w:rsidRPr="007333CF">
        <w:t>Hiltner</w:t>
      </w:r>
      <w:proofErr w:type="spellEnd"/>
      <w:r w:rsidRPr="007333CF">
        <w:t xml:space="preserve">, Sarah M. </w:t>
      </w:r>
      <w:proofErr w:type="spellStart"/>
      <w:r w:rsidRPr="007333CF">
        <w:t>Naiman</w:t>
      </w:r>
      <w:proofErr w:type="spellEnd"/>
      <w:r w:rsidRPr="007333CF">
        <w:t>, Adam R. Pearson, Rainer Romero-</w:t>
      </w:r>
      <w:proofErr w:type="spellStart"/>
      <w:r w:rsidRPr="007333CF">
        <w:t>Canyas</w:t>
      </w:r>
      <w:proofErr w:type="spellEnd"/>
      <w:r w:rsidRPr="007333CF">
        <w:t xml:space="preserve">, Jonathon P. Schuldt. </w:t>
      </w:r>
      <w:r w:rsidR="001E1738" w:rsidRPr="007333CF">
        <w:t>2020.</w:t>
      </w:r>
      <w:r w:rsidRPr="007333CF">
        <w:t xml:space="preserve"> </w:t>
      </w:r>
      <w:r w:rsidRPr="007333CF">
        <w:rPr>
          <w:color w:val="000000"/>
        </w:rPr>
        <w:t xml:space="preserve">What </w:t>
      </w:r>
      <w:r w:rsidR="0092120A" w:rsidRPr="007333CF">
        <w:rPr>
          <w:color w:val="000000"/>
        </w:rPr>
        <w:t xml:space="preserve">counts as an “environmental” </w:t>
      </w:r>
      <w:proofErr w:type="gramStart"/>
      <w:r w:rsidR="0092120A" w:rsidRPr="007333CF">
        <w:rPr>
          <w:color w:val="000000"/>
        </w:rPr>
        <w:t>issue?:</w:t>
      </w:r>
      <w:proofErr w:type="gramEnd"/>
      <w:r w:rsidR="0092120A" w:rsidRPr="007333CF">
        <w:rPr>
          <w:color w:val="000000"/>
        </w:rPr>
        <w:t xml:space="preserve"> </w:t>
      </w:r>
      <w:r w:rsidR="0092120A">
        <w:rPr>
          <w:color w:val="000000"/>
        </w:rPr>
        <w:t>D</w:t>
      </w:r>
      <w:r w:rsidR="0092120A" w:rsidRPr="007333CF">
        <w:rPr>
          <w:color w:val="000000"/>
        </w:rPr>
        <w:t>ifferences in issue conceptualization by race, ethnicity, and socioeconomic status</w:t>
      </w:r>
      <w:r w:rsidRPr="007333CF">
        <w:rPr>
          <w:color w:val="000000"/>
        </w:rPr>
        <w:t xml:space="preserve">. </w:t>
      </w:r>
      <w:r w:rsidRPr="007333CF">
        <w:rPr>
          <w:i/>
          <w:color w:val="000000"/>
        </w:rPr>
        <w:t>Journal of Environmental Psychology</w:t>
      </w:r>
      <w:r w:rsidR="001E1738" w:rsidRPr="007333CF">
        <w:rPr>
          <w:color w:val="000000"/>
        </w:rPr>
        <w:t>, 68: 1-6.</w:t>
      </w:r>
      <w:r w:rsidRPr="007333CF">
        <w:rPr>
          <w:color w:val="000000"/>
        </w:rPr>
        <w:t xml:space="preserve"> </w:t>
      </w:r>
    </w:p>
    <w:p w14:paraId="000000FA" w14:textId="731A42C9" w:rsidR="007734B8" w:rsidRPr="007333CF" w:rsidRDefault="001E1738" w:rsidP="000215BF">
      <w:pPr>
        <w:spacing w:line="480" w:lineRule="auto"/>
        <w:ind w:left="720" w:hanging="720"/>
      </w:pPr>
      <w:r w:rsidRPr="007333CF">
        <w:rPr>
          <w:color w:val="222222"/>
          <w:shd w:val="clear" w:color="auto" w:fill="FFFFFF"/>
        </w:rPr>
        <w:lastRenderedPageBreak/>
        <w:t xml:space="preserve">Tang, Fang, Jing Liang, Hai Zhang, </w:t>
      </w:r>
      <w:proofErr w:type="spellStart"/>
      <w:r w:rsidRPr="007333CF">
        <w:rPr>
          <w:color w:val="222222"/>
          <w:shd w:val="clear" w:color="auto" w:fill="FFFFFF"/>
        </w:rPr>
        <w:t>Mohammedhamid</w:t>
      </w:r>
      <w:proofErr w:type="spellEnd"/>
      <w:r w:rsidRPr="007333CF">
        <w:rPr>
          <w:color w:val="222222"/>
          <w:shd w:val="clear" w:color="auto" w:fill="FFFFFF"/>
        </w:rPr>
        <w:t xml:space="preserve"> </w:t>
      </w:r>
      <w:proofErr w:type="spellStart"/>
      <w:r w:rsidRPr="007333CF">
        <w:rPr>
          <w:color w:val="222222"/>
          <w:shd w:val="clear" w:color="auto" w:fill="FFFFFF"/>
        </w:rPr>
        <w:t>Mohammedosman</w:t>
      </w:r>
      <w:proofErr w:type="spellEnd"/>
      <w:r w:rsidRPr="007333CF">
        <w:rPr>
          <w:color w:val="222222"/>
          <w:shd w:val="clear" w:color="auto" w:fill="FFFFFF"/>
        </w:rPr>
        <w:t xml:space="preserve"> </w:t>
      </w:r>
      <w:proofErr w:type="spellStart"/>
      <w:r w:rsidRPr="007333CF">
        <w:rPr>
          <w:color w:val="222222"/>
          <w:shd w:val="clear" w:color="auto" w:fill="FFFFFF"/>
        </w:rPr>
        <w:t>Kelifa</w:t>
      </w:r>
      <w:proofErr w:type="spellEnd"/>
      <w:r w:rsidRPr="007333CF">
        <w:rPr>
          <w:color w:val="222222"/>
          <w:shd w:val="clear" w:color="auto" w:fill="FFFFFF"/>
        </w:rPr>
        <w:t xml:space="preserve">, </w:t>
      </w:r>
      <w:proofErr w:type="spellStart"/>
      <w:r w:rsidRPr="007333CF">
        <w:rPr>
          <w:color w:val="222222"/>
          <w:shd w:val="clear" w:color="auto" w:fill="FFFFFF"/>
        </w:rPr>
        <w:t>Qiqiang</w:t>
      </w:r>
      <w:proofErr w:type="spellEnd"/>
      <w:r w:rsidRPr="007333CF">
        <w:rPr>
          <w:color w:val="222222"/>
          <w:shd w:val="clear" w:color="auto" w:fill="FFFFFF"/>
        </w:rPr>
        <w:t xml:space="preserve"> He, and </w:t>
      </w:r>
      <w:proofErr w:type="spellStart"/>
      <w:r w:rsidRPr="007333CF">
        <w:rPr>
          <w:color w:val="222222"/>
          <w:shd w:val="clear" w:color="auto" w:fill="FFFFFF"/>
        </w:rPr>
        <w:t>Peigang</w:t>
      </w:r>
      <w:proofErr w:type="spellEnd"/>
      <w:r w:rsidRPr="007333CF">
        <w:rPr>
          <w:color w:val="222222"/>
          <w:shd w:val="clear" w:color="auto" w:fill="FFFFFF"/>
        </w:rPr>
        <w:t xml:space="preserve"> Wang. 2021. COVID-19 </w:t>
      </w:r>
      <w:r w:rsidR="0092120A" w:rsidRPr="007333CF">
        <w:rPr>
          <w:color w:val="222222"/>
          <w:shd w:val="clear" w:color="auto" w:fill="FFFFFF"/>
        </w:rPr>
        <w:t>related depression and anxiety among quarantined respondents</w:t>
      </w:r>
      <w:r w:rsidRPr="007333CF">
        <w:rPr>
          <w:color w:val="222222"/>
          <w:shd w:val="clear" w:color="auto" w:fill="FFFFFF"/>
        </w:rPr>
        <w:t>. </w:t>
      </w:r>
      <w:r w:rsidRPr="007333CF">
        <w:rPr>
          <w:i/>
          <w:iCs/>
          <w:color w:val="222222"/>
          <w:shd w:val="clear" w:color="auto" w:fill="FFFFFF"/>
        </w:rPr>
        <w:t>Psychology &amp; Health</w:t>
      </w:r>
      <w:r w:rsidRPr="007333CF">
        <w:rPr>
          <w:color w:val="222222"/>
          <w:shd w:val="clear" w:color="auto" w:fill="FFFFFF"/>
        </w:rPr>
        <w:t> 36(2): 164-178.</w:t>
      </w:r>
    </w:p>
    <w:p w14:paraId="79EA83A7" w14:textId="2F05BA57" w:rsidR="001E1738" w:rsidRPr="000215BF" w:rsidRDefault="001E1738" w:rsidP="000215BF">
      <w:pPr>
        <w:spacing w:line="480" w:lineRule="auto"/>
        <w:ind w:left="720" w:hanging="720"/>
        <w:rPr>
          <w:i/>
          <w:iCs/>
        </w:rPr>
      </w:pPr>
      <w:r w:rsidRPr="007333CF">
        <w:t xml:space="preserve">Tourangeau, Roger. 2014. Defining </w:t>
      </w:r>
      <w:r w:rsidR="0092120A" w:rsidRPr="007333CF">
        <w:t>hard-to-survey populations</w:t>
      </w:r>
      <w:r w:rsidRPr="007333CF">
        <w:t xml:space="preserve">. In </w:t>
      </w:r>
      <w:r w:rsidRPr="007333CF">
        <w:rPr>
          <w:i/>
          <w:iCs/>
        </w:rPr>
        <w:t>Hard-to</w:t>
      </w:r>
      <w:r w:rsidR="0092120A" w:rsidRPr="007333CF">
        <w:rPr>
          <w:i/>
          <w:iCs/>
        </w:rPr>
        <w:t>-survey populat</w:t>
      </w:r>
      <w:r w:rsidRPr="007333CF">
        <w:rPr>
          <w:i/>
          <w:iCs/>
        </w:rPr>
        <w:t>ions</w:t>
      </w:r>
      <w:r w:rsidRPr="007333CF">
        <w:t>, eds. Roger Tourangeau, Brad Edwards, Timothy P. Johnson, Kirk M. Wolter, and Nancy Bates</w:t>
      </w:r>
      <w:r w:rsidR="004E22BA" w:rsidRPr="007333CF">
        <w:t>, 3-20</w:t>
      </w:r>
      <w:r w:rsidRPr="007333CF">
        <w:t>. Cambridge University Press.</w:t>
      </w:r>
    </w:p>
    <w:p w14:paraId="735F4D02" w14:textId="09CA7A52" w:rsidR="00811499" w:rsidRDefault="004E22BA" w:rsidP="000215BF">
      <w:pPr>
        <w:spacing w:line="480" w:lineRule="auto"/>
        <w:ind w:left="720" w:hanging="720"/>
      </w:pPr>
      <w:r w:rsidRPr="007333CF">
        <w:rPr>
          <w:color w:val="222222"/>
          <w:shd w:val="clear" w:color="auto" w:fill="FFFFFF"/>
        </w:rPr>
        <w:t xml:space="preserve">Tourangeau, Roger. 2018. Choosing a </w:t>
      </w:r>
      <w:r w:rsidR="0092120A" w:rsidRPr="007333CF">
        <w:rPr>
          <w:color w:val="222222"/>
          <w:shd w:val="clear" w:color="auto" w:fill="FFFFFF"/>
        </w:rPr>
        <w:t>mode of survey data collection</w:t>
      </w:r>
      <w:r w:rsidRPr="007333CF">
        <w:rPr>
          <w:color w:val="222222"/>
          <w:shd w:val="clear" w:color="auto" w:fill="FFFFFF"/>
        </w:rPr>
        <w:t xml:space="preserve">. In </w:t>
      </w:r>
      <w:r w:rsidRPr="007333CF">
        <w:rPr>
          <w:i/>
        </w:rPr>
        <w:t xml:space="preserve">The Palgrave </w:t>
      </w:r>
      <w:r w:rsidR="0092120A" w:rsidRPr="007333CF">
        <w:rPr>
          <w:i/>
        </w:rPr>
        <w:t>handbook of survey research</w:t>
      </w:r>
      <w:r w:rsidRPr="007333CF">
        <w:rPr>
          <w:i/>
        </w:rPr>
        <w:t xml:space="preserve">, </w:t>
      </w:r>
      <w:r w:rsidRPr="007333CF">
        <w:t xml:space="preserve">eds. David L. </w:t>
      </w:r>
      <w:proofErr w:type="spellStart"/>
      <w:r w:rsidRPr="007333CF">
        <w:t>Vannette</w:t>
      </w:r>
      <w:proofErr w:type="spellEnd"/>
      <w:r w:rsidRPr="007333CF">
        <w:t xml:space="preserve"> and Jon A. Krosnick, 43-50. Cham, Switzerland: Springer International Publishing AG.</w:t>
      </w:r>
    </w:p>
    <w:p w14:paraId="3322438F" w14:textId="37C33FAE" w:rsidR="001E1738" w:rsidRPr="007333CF" w:rsidRDefault="00811499" w:rsidP="000215BF">
      <w:pPr>
        <w:spacing w:line="480" w:lineRule="auto"/>
        <w:ind w:left="720" w:hanging="720"/>
      </w:pPr>
      <w:r w:rsidRPr="007333CF">
        <w:t xml:space="preserve">Tourangeau, Roger, Lance J. Rips, and Kenneth </w:t>
      </w:r>
      <w:proofErr w:type="spellStart"/>
      <w:r w:rsidRPr="007333CF">
        <w:t>Rasinski</w:t>
      </w:r>
      <w:proofErr w:type="spellEnd"/>
      <w:r w:rsidRPr="007333CF">
        <w:t xml:space="preserve">. 2000. </w:t>
      </w:r>
      <w:r w:rsidRPr="007333CF">
        <w:rPr>
          <w:i/>
        </w:rPr>
        <w:t>The psychology of survey response</w:t>
      </w:r>
      <w:r w:rsidRPr="007333CF">
        <w:t>. Cambridge University Press.</w:t>
      </w:r>
    </w:p>
    <w:p w14:paraId="00000100" w14:textId="586ED046" w:rsidR="007734B8" w:rsidRPr="007333CF" w:rsidRDefault="00C77C72" w:rsidP="000215BF">
      <w:pPr>
        <w:spacing w:line="480" w:lineRule="auto"/>
        <w:ind w:left="720" w:hanging="720"/>
      </w:pPr>
      <w:r w:rsidRPr="007333CF">
        <w:t xml:space="preserve">USGCRP. 2018. </w:t>
      </w:r>
      <w:r w:rsidRPr="007333CF">
        <w:rPr>
          <w:i/>
        </w:rPr>
        <w:t xml:space="preserve">Impacts, </w:t>
      </w:r>
      <w:r w:rsidR="0092120A" w:rsidRPr="007333CF">
        <w:rPr>
          <w:i/>
        </w:rPr>
        <w:t xml:space="preserve">risks, and adaptation </w:t>
      </w:r>
      <w:r w:rsidRPr="007333CF">
        <w:rPr>
          <w:i/>
        </w:rPr>
        <w:t xml:space="preserve">in the United States: Fourth </w:t>
      </w:r>
      <w:r w:rsidR="0092120A" w:rsidRPr="007333CF">
        <w:rPr>
          <w:i/>
        </w:rPr>
        <w:t xml:space="preserve">national climate assessment, volume </w:t>
      </w:r>
      <w:r w:rsidRPr="007333CF">
        <w:rPr>
          <w:i/>
        </w:rPr>
        <w:t>II</w:t>
      </w:r>
      <w:r w:rsidRPr="007333CF">
        <w:t xml:space="preserve">. Washington DC: U.S. Global Change Research Program. </w:t>
      </w:r>
      <w:r w:rsidR="0092120A">
        <w:t>Available from</w:t>
      </w:r>
      <w:r w:rsidRPr="007333CF">
        <w:t xml:space="preserve"> 10.7930/NCA4.2018.</w:t>
      </w:r>
    </w:p>
    <w:p w14:paraId="00000102" w14:textId="2E38F402" w:rsidR="007734B8" w:rsidRPr="007333CF" w:rsidRDefault="00C77C72" w:rsidP="000215BF">
      <w:pPr>
        <w:spacing w:line="480" w:lineRule="auto"/>
        <w:ind w:left="720" w:hanging="720"/>
      </w:pPr>
      <w:r w:rsidRPr="007333CF">
        <w:t xml:space="preserve">Watts, Nick, Markus Amann, Sonja </w:t>
      </w:r>
      <w:proofErr w:type="spellStart"/>
      <w:r w:rsidRPr="007333CF">
        <w:t>Ayeb</w:t>
      </w:r>
      <w:proofErr w:type="spellEnd"/>
      <w:r w:rsidRPr="007333CF">
        <w:t xml:space="preserve">-Karlsson, Kristine </w:t>
      </w:r>
      <w:proofErr w:type="spellStart"/>
      <w:r w:rsidRPr="007333CF">
        <w:t>Belesova</w:t>
      </w:r>
      <w:proofErr w:type="spellEnd"/>
      <w:r w:rsidRPr="007333CF">
        <w:t xml:space="preserve">, Timothy Bouley, Maxwell Boykoff, et al. 2018. The Lancet </w:t>
      </w:r>
      <w:r w:rsidR="0092120A" w:rsidRPr="007333CF">
        <w:t xml:space="preserve">countdown on health and climate change: </w:t>
      </w:r>
      <w:r w:rsidR="0092120A">
        <w:t>F</w:t>
      </w:r>
      <w:r w:rsidR="0092120A" w:rsidRPr="007333CF">
        <w:t>rom 25 years of inaction to a global transformation for public heal</w:t>
      </w:r>
      <w:r w:rsidRPr="007333CF">
        <w:t xml:space="preserve">th. </w:t>
      </w:r>
      <w:r w:rsidRPr="007333CF">
        <w:rPr>
          <w:i/>
        </w:rPr>
        <w:t>The Lancet</w:t>
      </w:r>
      <w:r w:rsidRPr="007333CF">
        <w:t xml:space="preserve"> 391(10120): 581-630.</w:t>
      </w:r>
    </w:p>
    <w:p w14:paraId="7EDB9725" w14:textId="59F5BDC0" w:rsidR="005D0EBD" w:rsidRPr="007333CF" w:rsidRDefault="00C77C72" w:rsidP="000215BF">
      <w:pPr>
        <w:spacing w:line="480" w:lineRule="auto"/>
        <w:ind w:left="720" w:hanging="720"/>
      </w:pPr>
      <w:proofErr w:type="spellStart"/>
      <w:r w:rsidRPr="007333CF">
        <w:t>Weinburgh</w:t>
      </w:r>
      <w:proofErr w:type="spellEnd"/>
      <w:r w:rsidRPr="007333CF">
        <w:t xml:space="preserve">, Molly. 1995. Gender </w:t>
      </w:r>
      <w:r w:rsidR="0092120A" w:rsidRPr="007333CF">
        <w:t xml:space="preserve">differences in student attitudes toward science: </w:t>
      </w:r>
      <w:r w:rsidR="0092120A">
        <w:t>A</w:t>
      </w:r>
      <w:r w:rsidR="0092120A" w:rsidRPr="007333CF">
        <w:t xml:space="preserve"> meta‐analysis of the literature from 1</w:t>
      </w:r>
      <w:r w:rsidRPr="007333CF">
        <w:t xml:space="preserve">970 to 1991. </w:t>
      </w:r>
      <w:r w:rsidRPr="007333CF">
        <w:rPr>
          <w:i/>
        </w:rPr>
        <w:t>Journal of Research in Science Teaching</w:t>
      </w:r>
      <w:r w:rsidRPr="007333CF">
        <w:t xml:space="preserve"> 32(4): 387-398.</w:t>
      </w:r>
    </w:p>
    <w:p w14:paraId="38796E6B" w14:textId="437D6476" w:rsidR="00244460" w:rsidRPr="007333CF" w:rsidRDefault="00244460" w:rsidP="000215BF">
      <w:pPr>
        <w:spacing w:line="480" w:lineRule="auto"/>
        <w:ind w:left="720" w:hanging="720"/>
      </w:pPr>
      <w:r w:rsidRPr="007333CF">
        <w:lastRenderedPageBreak/>
        <w:t xml:space="preserve">Weiss, Charlene, and Barbara A. </w:t>
      </w:r>
      <w:proofErr w:type="spellStart"/>
      <w:r w:rsidRPr="007333CF">
        <w:t>Bailar</w:t>
      </w:r>
      <w:proofErr w:type="spellEnd"/>
      <w:r w:rsidRPr="007333CF">
        <w:t xml:space="preserve">. 2002. High </w:t>
      </w:r>
      <w:r w:rsidR="0092120A" w:rsidRPr="007333CF">
        <w:t>response rates for low-income population in-person s</w:t>
      </w:r>
      <w:r w:rsidRPr="007333CF">
        <w:t xml:space="preserve">urveys. In </w:t>
      </w:r>
      <w:r w:rsidRPr="007333CF">
        <w:rPr>
          <w:i/>
          <w:iCs/>
        </w:rPr>
        <w:t xml:space="preserve">Studies </w:t>
      </w:r>
      <w:r w:rsidR="0092120A" w:rsidRPr="007333CF">
        <w:rPr>
          <w:i/>
          <w:iCs/>
        </w:rPr>
        <w:t xml:space="preserve">of welfare populations: </w:t>
      </w:r>
      <w:r w:rsidR="0092120A">
        <w:rPr>
          <w:i/>
          <w:iCs/>
        </w:rPr>
        <w:t>D</w:t>
      </w:r>
      <w:r w:rsidR="0092120A" w:rsidRPr="007333CF">
        <w:rPr>
          <w:i/>
          <w:iCs/>
        </w:rPr>
        <w:t>ata collection and research iss</w:t>
      </w:r>
      <w:r w:rsidRPr="007333CF">
        <w:rPr>
          <w:i/>
          <w:iCs/>
        </w:rPr>
        <w:t>ues</w:t>
      </w:r>
      <w:r w:rsidRPr="007333CF">
        <w:t>, National Research Council, 86-104. Washington DC: National Academies Press.</w:t>
      </w:r>
    </w:p>
    <w:p w14:paraId="2E8A463A" w14:textId="3C83EA6B" w:rsidR="00244460" w:rsidRPr="007333CF" w:rsidRDefault="00244460" w:rsidP="000215BF">
      <w:pPr>
        <w:spacing w:line="480" w:lineRule="auto"/>
        <w:ind w:left="720" w:hanging="720"/>
      </w:pPr>
      <w:r w:rsidRPr="007333CF">
        <w:rPr>
          <w:color w:val="222222"/>
          <w:shd w:val="clear" w:color="auto" w:fill="FFFFFF"/>
        </w:rPr>
        <w:t xml:space="preserve">Welles, Brooke Foucault. 2014. On </w:t>
      </w:r>
      <w:r w:rsidR="0092120A" w:rsidRPr="007333CF">
        <w:rPr>
          <w:color w:val="222222"/>
          <w:shd w:val="clear" w:color="auto" w:fill="FFFFFF"/>
        </w:rPr>
        <w:t xml:space="preserve">minorities and outliers: </w:t>
      </w:r>
      <w:r w:rsidR="0092120A">
        <w:rPr>
          <w:color w:val="222222"/>
          <w:shd w:val="clear" w:color="auto" w:fill="FFFFFF"/>
        </w:rPr>
        <w:t>T</w:t>
      </w:r>
      <w:r w:rsidR="0092120A" w:rsidRPr="007333CF">
        <w:rPr>
          <w:color w:val="222222"/>
          <w:shd w:val="clear" w:color="auto" w:fill="FFFFFF"/>
        </w:rPr>
        <w:t>he case for making big data sma</w:t>
      </w:r>
      <w:r w:rsidRPr="007333CF">
        <w:rPr>
          <w:color w:val="222222"/>
          <w:shd w:val="clear" w:color="auto" w:fill="FFFFFF"/>
        </w:rPr>
        <w:t>ll. </w:t>
      </w:r>
      <w:r w:rsidRPr="007333CF">
        <w:rPr>
          <w:i/>
          <w:iCs/>
          <w:color w:val="222222"/>
          <w:shd w:val="clear" w:color="auto" w:fill="FFFFFF"/>
        </w:rPr>
        <w:t>Big Data &amp; Society</w:t>
      </w:r>
      <w:r w:rsidRPr="007333CF">
        <w:rPr>
          <w:color w:val="222222"/>
          <w:shd w:val="clear" w:color="auto" w:fill="FFFFFF"/>
        </w:rPr>
        <w:t> 1(1): 1-2.</w:t>
      </w:r>
    </w:p>
    <w:p w14:paraId="00000104" w14:textId="2BC4E5C3" w:rsidR="007734B8" w:rsidRPr="007333CF" w:rsidRDefault="005D0EBD" w:rsidP="000215BF">
      <w:pPr>
        <w:spacing w:line="480" w:lineRule="auto"/>
        <w:ind w:left="720" w:hanging="720"/>
      </w:pPr>
      <w:r w:rsidRPr="007333CF">
        <w:t>Wells, Brian M., Todd Hughes, Royce Park</w:t>
      </w:r>
      <w:r w:rsidR="00651251" w:rsidRPr="007333CF">
        <w:t xml:space="preserve">, CHIS Redesign Working Group, Taylor B. Rogers, </w:t>
      </w:r>
      <w:proofErr w:type="spellStart"/>
      <w:r w:rsidR="00651251" w:rsidRPr="007333CF">
        <w:t>Ninez</w:t>
      </w:r>
      <w:proofErr w:type="spellEnd"/>
      <w:r w:rsidR="00651251" w:rsidRPr="007333CF">
        <w:t xml:space="preserve"> Ponce. 201</w:t>
      </w:r>
      <w:r w:rsidR="0092120A">
        <w:t>9</w:t>
      </w:r>
      <w:r w:rsidR="00651251" w:rsidRPr="007333CF">
        <w:t xml:space="preserve">. </w:t>
      </w:r>
      <w:r w:rsidR="00651251" w:rsidRPr="00690310">
        <w:rPr>
          <w:i/>
          <w:iCs/>
        </w:rPr>
        <w:t xml:space="preserve">Evaluating the California Health Interview Survey </w:t>
      </w:r>
      <w:r w:rsidR="0092120A" w:rsidRPr="00690310">
        <w:rPr>
          <w:i/>
          <w:iCs/>
        </w:rPr>
        <w:t>of the future: Results from a methodological experiment to test an address-based sampling mail push-to-web data collection</w:t>
      </w:r>
      <w:r w:rsidR="00651251" w:rsidRPr="007333CF">
        <w:t xml:space="preserve">. </w:t>
      </w:r>
      <w:r w:rsidR="00690310">
        <w:t xml:space="preserve">Los Angeles, CA: </w:t>
      </w:r>
      <w:r w:rsidR="00651251" w:rsidRPr="00690310">
        <w:t>UCLA Center for Health Policy Research</w:t>
      </w:r>
      <w:r w:rsidR="00651251" w:rsidRPr="007333CF">
        <w:rPr>
          <w:i/>
          <w:iCs/>
        </w:rPr>
        <w:t xml:space="preserve">. </w:t>
      </w:r>
      <w:r w:rsidRPr="007333CF">
        <w:rPr>
          <w:i/>
          <w:iCs/>
        </w:rPr>
        <w:t xml:space="preserve"> </w:t>
      </w:r>
    </w:p>
    <w:p w14:paraId="2F4BD214" w14:textId="3BAF29FB" w:rsidR="00311D9E" w:rsidRPr="007333CF" w:rsidRDefault="00C77C72" w:rsidP="000215BF">
      <w:pPr>
        <w:spacing w:line="480" w:lineRule="auto"/>
        <w:ind w:left="720" w:hanging="720"/>
      </w:pPr>
      <w:r w:rsidRPr="007333CF">
        <w:t xml:space="preserve">White, Rob. 2017. </w:t>
      </w:r>
      <w:r w:rsidRPr="007333CF">
        <w:rPr>
          <w:i/>
        </w:rPr>
        <w:t xml:space="preserve">Transnational </w:t>
      </w:r>
      <w:r w:rsidR="00690310" w:rsidRPr="007333CF">
        <w:rPr>
          <w:i/>
        </w:rPr>
        <w:t>environmental crime</w:t>
      </w:r>
      <w:r w:rsidRPr="007333CF">
        <w:t>. New York: Routledge.</w:t>
      </w:r>
    </w:p>
    <w:p w14:paraId="41D8C2D4" w14:textId="49EA483E" w:rsidR="00244460" w:rsidRPr="007333CF" w:rsidRDefault="003A4EDA" w:rsidP="000215BF">
      <w:pPr>
        <w:spacing w:line="480" w:lineRule="auto"/>
        <w:ind w:left="720" w:hanging="720"/>
      </w:pPr>
      <w:r w:rsidRPr="007333CF">
        <w:rPr>
          <w:color w:val="222222"/>
          <w:shd w:val="clear" w:color="auto" w:fill="FFFFFF"/>
        </w:rPr>
        <w:t xml:space="preserve">Williams, David R., Hector M. Gonzalez, Harold Neighbors, Randolph </w:t>
      </w:r>
      <w:proofErr w:type="spellStart"/>
      <w:r w:rsidRPr="007333CF">
        <w:rPr>
          <w:color w:val="222222"/>
          <w:shd w:val="clear" w:color="auto" w:fill="FFFFFF"/>
        </w:rPr>
        <w:t>Nesse</w:t>
      </w:r>
      <w:proofErr w:type="spellEnd"/>
      <w:r w:rsidRPr="007333CF">
        <w:rPr>
          <w:color w:val="222222"/>
          <w:shd w:val="clear" w:color="auto" w:fill="FFFFFF"/>
        </w:rPr>
        <w:t xml:space="preserve">, Jamie M. Abelson, Julie Sweetman, and James S. Jackson. 2007. Prevalence and </w:t>
      </w:r>
      <w:r w:rsidR="00690310" w:rsidRPr="007333CF">
        <w:rPr>
          <w:color w:val="222222"/>
          <w:shd w:val="clear" w:color="auto" w:fill="FFFFFF"/>
        </w:rPr>
        <w:t xml:space="preserve">distribution of major depressive disorder </w:t>
      </w:r>
      <w:r w:rsidRPr="007333CF">
        <w:rPr>
          <w:color w:val="222222"/>
          <w:shd w:val="clear" w:color="auto" w:fill="FFFFFF"/>
        </w:rPr>
        <w:t>in African Americans, Caribbean Blacks, and Non-Hispanic Whites: Results from The National Survey of American Life. </w:t>
      </w:r>
      <w:r w:rsidRPr="007333CF">
        <w:rPr>
          <w:i/>
          <w:iCs/>
          <w:color w:val="222222"/>
          <w:shd w:val="clear" w:color="auto" w:fill="FFFFFF"/>
        </w:rPr>
        <w:t>Archives of General Psychiatry</w:t>
      </w:r>
      <w:r w:rsidRPr="007333CF">
        <w:rPr>
          <w:color w:val="222222"/>
          <w:shd w:val="clear" w:color="auto" w:fill="FFFFFF"/>
        </w:rPr>
        <w:t> 64(3): 305-315.</w:t>
      </w:r>
    </w:p>
    <w:p w14:paraId="759DC4EF" w14:textId="3BE245FE" w:rsidR="003A4EDA" w:rsidRPr="007333CF" w:rsidRDefault="003A4EDA" w:rsidP="000215BF">
      <w:pPr>
        <w:spacing w:line="480" w:lineRule="auto"/>
        <w:ind w:left="720" w:hanging="720"/>
      </w:pPr>
      <w:r w:rsidRPr="007333CF">
        <w:rPr>
          <w:color w:val="222222"/>
          <w:shd w:val="clear" w:color="auto" w:fill="FFFFFF"/>
        </w:rPr>
        <w:t xml:space="preserve">Wong, Janelle S., S. Karthick Ramakrishnan, </w:t>
      </w:r>
      <w:proofErr w:type="spellStart"/>
      <w:r w:rsidRPr="007333CF">
        <w:rPr>
          <w:color w:val="222222"/>
          <w:shd w:val="clear" w:color="auto" w:fill="FFFFFF"/>
        </w:rPr>
        <w:t>Taeku</w:t>
      </w:r>
      <w:proofErr w:type="spellEnd"/>
      <w:r w:rsidRPr="007333CF">
        <w:rPr>
          <w:color w:val="222222"/>
          <w:shd w:val="clear" w:color="auto" w:fill="FFFFFF"/>
        </w:rPr>
        <w:t xml:space="preserve"> Lee, Jane </w:t>
      </w:r>
      <w:proofErr w:type="spellStart"/>
      <w:r w:rsidRPr="007333CF">
        <w:rPr>
          <w:color w:val="222222"/>
          <w:shd w:val="clear" w:color="auto" w:fill="FFFFFF"/>
        </w:rPr>
        <w:t>Junn</w:t>
      </w:r>
      <w:proofErr w:type="spellEnd"/>
      <w:r w:rsidRPr="007333CF">
        <w:rPr>
          <w:color w:val="222222"/>
          <w:shd w:val="clear" w:color="auto" w:fill="FFFFFF"/>
        </w:rPr>
        <w:t xml:space="preserve">, and Janelle Wong. 2011. </w:t>
      </w:r>
      <w:r w:rsidRPr="007333CF">
        <w:rPr>
          <w:i/>
          <w:iCs/>
          <w:color w:val="222222"/>
          <w:shd w:val="clear" w:color="auto" w:fill="FFFFFF"/>
        </w:rPr>
        <w:t xml:space="preserve">Asian American </w:t>
      </w:r>
      <w:r w:rsidR="00690310" w:rsidRPr="007333CF">
        <w:rPr>
          <w:i/>
          <w:iCs/>
          <w:color w:val="222222"/>
          <w:shd w:val="clear" w:color="auto" w:fill="FFFFFF"/>
        </w:rPr>
        <w:t xml:space="preserve">political participation: </w:t>
      </w:r>
      <w:r w:rsidR="00690310">
        <w:rPr>
          <w:i/>
          <w:iCs/>
          <w:color w:val="222222"/>
          <w:shd w:val="clear" w:color="auto" w:fill="FFFFFF"/>
        </w:rPr>
        <w:t>E</w:t>
      </w:r>
      <w:r w:rsidR="00690310" w:rsidRPr="007333CF">
        <w:rPr>
          <w:i/>
          <w:iCs/>
          <w:color w:val="222222"/>
          <w:shd w:val="clear" w:color="auto" w:fill="FFFFFF"/>
        </w:rPr>
        <w:t>merging constituents and their political iden</w:t>
      </w:r>
      <w:r w:rsidRPr="007333CF">
        <w:rPr>
          <w:i/>
          <w:iCs/>
          <w:color w:val="222222"/>
          <w:shd w:val="clear" w:color="auto" w:fill="FFFFFF"/>
        </w:rPr>
        <w:t>tities</w:t>
      </w:r>
      <w:r w:rsidRPr="007333CF">
        <w:rPr>
          <w:color w:val="222222"/>
          <w:shd w:val="clear" w:color="auto" w:fill="FFFFFF"/>
        </w:rPr>
        <w:t>. New York: Russell Sage Foundation.</w:t>
      </w:r>
    </w:p>
    <w:p w14:paraId="49986CBF" w14:textId="72A40872" w:rsidR="0024621C" w:rsidRPr="007333CF" w:rsidRDefault="00311D9E" w:rsidP="000215BF">
      <w:pPr>
        <w:spacing w:line="480" w:lineRule="auto"/>
        <w:ind w:left="720" w:hanging="720"/>
        <w:rPr>
          <w:color w:val="181817"/>
        </w:rPr>
      </w:pPr>
      <w:r w:rsidRPr="007333CF">
        <w:t>Wong,</w:t>
      </w:r>
      <w:r w:rsidRPr="007333CF">
        <w:rPr>
          <w:color w:val="181817"/>
        </w:rPr>
        <w:t xml:space="preserve"> Tom K., S. Deborah Kang, Carolina Valdivia, Josefina Espino, Michelle Gonzalez, and Elia Peralta. 2021. How </w:t>
      </w:r>
      <w:r w:rsidR="00690310" w:rsidRPr="007333CF">
        <w:rPr>
          <w:color w:val="181817"/>
        </w:rPr>
        <w:t>interior immigration enforcement affects trust in law enforcem</w:t>
      </w:r>
      <w:r w:rsidRPr="007333CF">
        <w:rPr>
          <w:color w:val="181817"/>
        </w:rPr>
        <w:t>ent. </w:t>
      </w:r>
      <w:r w:rsidRPr="007333CF">
        <w:rPr>
          <w:i/>
          <w:iCs/>
          <w:color w:val="181817"/>
        </w:rPr>
        <w:t>Perspectives on Politics,</w:t>
      </w:r>
      <w:r w:rsidRPr="007333CF">
        <w:rPr>
          <w:color w:val="181817"/>
        </w:rPr>
        <w:t> </w:t>
      </w:r>
      <w:r w:rsidRPr="00417D7F">
        <w:rPr>
          <w:color w:val="181817"/>
        </w:rPr>
        <w:t>19</w:t>
      </w:r>
      <w:r w:rsidRPr="007333CF">
        <w:rPr>
          <w:color w:val="181817"/>
        </w:rPr>
        <w:t xml:space="preserve">(2): 357-370. </w:t>
      </w:r>
    </w:p>
    <w:p w14:paraId="6D71EBDD" w14:textId="28BB1BD1" w:rsidR="003A4EDA" w:rsidRPr="007333CF" w:rsidRDefault="003A4EDA" w:rsidP="00EB66EE">
      <w:pPr>
        <w:spacing w:line="480" w:lineRule="auto"/>
        <w:ind w:left="720" w:hanging="720"/>
        <w:rPr>
          <w:color w:val="181817"/>
        </w:rPr>
      </w:pPr>
      <w:r w:rsidRPr="007333CF">
        <w:rPr>
          <w:color w:val="222222"/>
          <w:shd w:val="clear" w:color="auto" w:fill="FFFFFF"/>
        </w:rPr>
        <w:t xml:space="preserve">Wrigley-Field, Elizabeth. 2020. US </w:t>
      </w:r>
      <w:r w:rsidR="00690310" w:rsidRPr="007333CF">
        <w:rPr>
          <w:color w:val="222222"/>
          <w:shd w:val="clear" w:color="auto" w:fill="FFFFFF"/>
        </w:rPr>
        <w:t xml:space="preserve">racial inequality may be as deadly </w:t>
      </w:r>
      <w:r w:rsidRPr="007333CF">
        <w:rPr>
          <w:color w:val="222222"/>
          <w:shd w:val="clear" w:color="auto" w:fill="FFFFFF"/>
        </w:rPr>
        <w:t>as COVID-19. </w:t>
      </w:r>
      <w:r w:rsidRPr="007333CF">
        <w:rPr>
          <w:i/>
          <w:iCs/>
          <w:color w:val="222222"/>
          <w:shd w:val="clear" w:color="auto" w:fill="FFFFFF"/>
        </w:rPr>
        <w:t>Proceedings of the National Academy of Sciences</w:t>
      </w:r>
      <w:r w:rsidRPr="007333CF">
        <w:rPr>
          <w:color w:val="222222"/>
          <w:shd w:val="clear" w:color="auto" w:fill="FFFFFF"/>
        </w:rPr>
        <w:t> 117(36): 21854-21856.</w:t>
      </w:r>
    </w:p>
    <w:sectPr w:rsidR="003A4EDA" w:rsidRPr="007333CF">
      <w:footerReference w:type="default" r:id="rId8"/>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50C9" w14:textId="77777777" w:rsidR="00A07B0F" w:rsidRDefault="00A07B0F">
      <w:r>
        <w:separator/>
      </w:r>
    </w:p>
  </w:endnote>
  <w:endnote w:type="continuationSeparator" w:id="0">
    <w:p w14:paraId="797C24A8" w14:textId="77777777" w:rsidR="00A07B0F" w:rsidRDefault="00A07B0F">
      <w:r>
        <w:continuationSeparator/>
      </w:r>
    </w:p>
  </w:endnote>
  <w:endnote w:id="1">
    <w:p w14:paraId="7111F08F" w14:textId="72FF8D6E" w:rsidR="00214628" w:rsidRPr="00146738" w:rsidRDefault="00214628" w:rsidP="00FA0170">
      <w:pPr>
        <w:rPr>
          <w:sz w:val="20"/>
          <w:szCs w:val="20"/>
        </w:rPr>
      </w:pPr>
      <w:r w:rsidRPr="00E727BA">
        <w:rPr>
          <w:rStyle w:val="EndnoteReference"/>
          <w:sz w:val="20"/>
          <w:szCs w:val="20"/>
        </w:rPr>
        <w:endnoteRef/>
      </w:r>
      <w:r w:rsidRPr="00E727BA">
        <w:rPr>
          <w:sz w:val="20"/>
          <w:szCs w:val="20"/>
        </w:rPr>
        <w:t xml:space="preserve"> Alternatively, some rely on pure convenience samples that do not match the population of interest (e.g., Amazon’s Mechanical Turk). This approach is not particularly effective for sampling targeted subgroups unless it is a purposive sample, as we shortly dis</w:t>
      </w:r>
      <w:r w:rsidRPr="00146738">
        <w:rPr>
          <w:sz w:val="20"/>
          <w:szCs w:val="20"/>
        </w:rPr>
        <w:t>cuss.</w:t>
      </w:r>
    </w:p>
  </w:endnote>
  <w:endnote w:id="2">
    <w:p w14:paraId="3336F98A" w14:textId="45BD1B69" w:rsidR="00B118C0" w:rsidRDefault="00B118C0">
      <w:pPr>
        <w:pStyle w:val="EndnoteText"/>
      </w:pPr>
      <w:r>
        <w:rPr>
          <w:rStyle w:val="EndnoteReference"/>
        </w:rPr>
        <w:endnoteRef/>
      </w:r>
      <w:r>
        <w:t xml:space="preserve"> </w:t>
      </w:r>
      <w:r w:rsidR="00BA7A17">
        <w:t>However,</w:t>
      </w:r>
      <w:r>
        <w:t xml:space="preserve"> see Jackman and </w:t>
      </w:r>
      <w:proofErr w:type="spellStart"/>
      <w:r>
        <w:t>Spahn</w:t>
      </w:r>
      <w:proofErr w:type="spellEnd"/>
      <w:r>
        <w:t xml:space="preserve"> (2021) for important coverage considerations when using </w:t>
      </w:r>
      <w:r w:rsidR="00D46333">
        <w:t xml:space="preserve">certain </w:t>
      </w:r>
      <w:r>
        <w:t>lists as sampling frames.</w:t>
      </w:r>
    </w:p>
  </w:endnote>
  <w:endnote w:id="3">
    <w:p w14:paraId="72168E0B" w14:textId="34B20ABB" w:rsidR="00214628" w:rsidRPr="00FF3114" w:rsidRDefault="00214628" w:rsidP="00D45772">
      <w:pPr>
        <w:pStyle w:val="EndnoteText"/>
      </w:pPr>
      <w:r w:rsidRPr="00E727BA">
        <w:rPr>
          <w:rStyle w:val="EndnoteReference"/>
        </w:rPr>
        <w:endnoteRef/>
      </w:r>
      <w:r w:rsidRPr="00E727BA">
        <w:t xml:space="preserve"> Respondent</w:t>
      </w:r>
      <w:r w:rsidR="00124050">
        <w:t>-</w:t>
      </w:r>
      <w:r w:rsidRPr="00E727BA">
        <w:t xml:space="preserve">driven sampling is sometimes portrayed as extremely accurate; however, Goel and </w:t>
      </w:r>
      <w:proofErr w:type="spellStart"/>
      <w:r w:rsidRPr="00E727BA">
        <w:t>Salganik</w:t>
      </w:r>
      <w:proofErr w:type="spellEnd"/>
      <w:r w:rsidRPr="00E727BA">
        <w:t xml:space="preserve"> (2010) show that, in most applications</w:t>
      </w:r>
      <w:r w:rsidRPr="00146738">
        <w:t>, it is not.</w:t>
      </w:r>
    </w:p>
  </w:endnote>
  <w:endnote w:id="4">
    <w:p w14:paraId="3BAA7B54" w14:textId="024DAD2D" w:rsidR="00214628" w:rsidRPr="00146738" w:rsidRDefault="00214628" w:rsidP="00C176E7">
      <w:pPr>
        <w:pStyle w:val="EndnoteText"/>
        <w:tabs>
          <w:tab w:val="left" w:pos="4590"/>
        </w:tabs>
      </w:pPr>
      <w:r w:rsidRPr="00E727BA">
        <w:rPr>
          <w:rStyle w:val="EndnoteReference"/>
        </w:rPr>
        <w:endnoteRef/>
      </w:r>
      <w:r w:rsidRPr="00E727BA">
        <w:t xml:space="preserve"> Another example is </w:t>
      </w:r>
      <w:r w:rsidR="00811499">
        <w:t xml:space="preserve">Schuldt, </w:t>
      </w:r>
      <w:proofErr w:type="spellStart"/>
      <w:r w:rsidR="00811499">
        <w:t>Roh</w:t>
      </w:r>
      <w:proofErr w:type="spellEnd"/>
      <w:r w:rsidR="00811499">
        <w:t>, and Schwarz’s</w:t>
      </w:r>
      <w:r w:rsidRPr="00E727BA">
        <w:t xml:space="preserve"> (2015) well-known finding that Democrats view “global warming” and “climate change” as synonymous, while Republicans view them as distinct.</w:t>
      </w:r>
    </w:p>
  </w:endnote>
  <w:endnote w:id="5">
    <w:p w14:paraId="6266FA64" w14:textId="749FD2D9" w:rsidR="00214628" w:rsidRPr="00214628" w:rsidRDefault="00214628">
      <w:pPr>
        <w:pStyle w:val="EndnoteText"/>
      </w:pPr>
      <w:r w:rsidRPr="00214628">
        <w:rPr>
          <w:rStyle w:val="EndnoteReference"/>
        </w:rPr>
        <w:endnoteRef/>
      </w:r>
      <w:r w:rsidRPr="00214628">
        <w:t xml:space="preserve"> See </w:t>
      </w:r>
      <w:proofErr w:type="spellStart"/>
      <w:r w:rsidRPr="00214628">
        <w:t>Lewenstein’s</w:t>
      </w:r>
      <w:proofErr w:type="spellEnd"/>
      <w:r w:rsidRPr="00214628">
        <w:t xml:space="preserve"> paper in this volume on the how working with communities can, in some cases, reify inequalities by incorporating selected subsets of a given population.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UnicodeMS">
    <w:altName w:val="Yu Gothic"/>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06090"/>
      <w:docPartObj>
        <w:docPartGallery w:val="Page Numbers (Bottom of Page)"/>
        <w:docPartUnique/>
      </w:docPartObj>
    </w:sdtPr>
    <w:sdtEndPr>
      <w:rPr>
        <w:rFonts w:ascii="Times New Roman" w:hAnsi="Times New Roman" w:cs="Times New Roman"/>
        <w:noProof/>
        <w:sz w:val="24"/>
        <w:szCs w:val="24"/>
      </w:rPr>
    </w:sdtEndPr>
    <w:sdtContent>
      <w:p w14:paraId="4C3B86FE" w14:textId="1FF2349C" w:rsidR="00B2767F" w:rsidRPr="00B2767F" w:rsidRDefault="00B2767F">
        <w:pPr>
          <w:pStyle w:val="Footer"/>
          <w:jc w:val="center"/>
          <w:rPr>
            <w:rFonts w:ascii="Times New Roman" w:hAnsi="Times New Roman" w:cs="Times New Roman"/>
            <w:sz w:val="24"/>
            <w:szCs w:val="24"/>
          </w:rPr>
        </w:pPr>
        <w:r w:rsidRPr="00B2767F">
          <w:rPr>
            <w:rFonts w:ascii="Times New Roman" w:hAnsi="Times New Roman" w:cs="Times New Roman"/>
            <w:sz w:val="24"/>
            <w:szCs w:val="24"/>
          </w:rPr>
          <w:fldChar w:fldCharType="begin"/>
        </w:r>
        <w:r w:rsidRPr="00B2767F">
          <w:rPr>
            <w:rFonts w:ascii="Times New Roman" w:hAnsi="Times New Roman" w:cs="Times New Roman"/>
            <w:sz w:val="24"/>
            <w:szCs w:val="24"/>
          </w:rPr>
          <w:instrText xml:space="preserve"> PAGE   \* MERGEFORMAT </w:instrText>
        </w:r>
        <w:r w:rsidRPr="00B2767F">
          <w:rPr>
            <w:rFonts w:ascii="Times New Roman" w:hAnsi="Times New Roman" w:cs="Times New Roman"/>
            <w:sz w:val="24"/>
            <w:szCs w:val="24"/>
          </w:rPr>
          <w:fldChar w:fldCharType="separate"/>
        </w:r>
        <w:r>
          <w:rPr>
            <w:rFonts w:ascii="Times New Roman" w:hAnsi="Times New Roman" w:cs="Times New Roman"/>
            <w:noProof/>
            <w:sz w:val="24"/>
            <w:szCs w:val="24"/>
          </w:rPr>
          <w:t>29</w:t>
        </w:r>
        <w:r w:rsidRPr="00B2767F">
          <w:rPr>
            <w:rFonts w:ascii="Times New Roman" w:hAnsi="Times New Roman" w:cs="Times New Roman"/>
            <w:noProof/>
            <w:sz w:val="24"/>
            <w:szCs w:val="24"/>
          </w:rPr>
          <w:fldChar w:fldCharType="end"/>
        </w:r>
      </w:p>
    </w:sdtContent>
  </w:sdt>
  <w:p w14:paraId="372EA726" w14:textId="77777777" w:rsidR="00B2767F" w:rsidRDefault="00B27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B196" w14:textId="77777777" w:rsidR="00A07B0F" w:rsidRDefault="00A07B0F">
      <w:r>
        <w:separator/>
      </w:r>
    </w:p>
  </w:footnote>
  <w:footnote w:type="continuationSeparator" w:id="0">
    <w:p w14:paraId="428B32FB" w14:textId="77777777" w:rsidR="00A07B0F" w:rsidRDefault="00A07B0F">
      <w:r>
        <w:continuationSeparator/>
      </w:r>
    </w:p>
  </w:footnote>
  <w:footnote w:id="1">
    <w:p w14:paraId="1FC9C0A8" w14:textId="59D538E6" w:rsidR="00DE2EED" w:rsidRPr="00DE2EED" w:rsidRDefault="00DE2EED" w:rsidP="00EC467D">
      <w:r w:rsidRPr="00DE2EED">
        <w:rPr>
          <w:rStyle w:val="FootnoteReference"/>
        </w:rPr>
        <w:footnoteRef/>
      </w:r>
      <w:r w:rsidRPr="00DE2EED">
        <w:t xml:space="preserve"> </w:t>
      </w:r>
      <w:r w:rsidR="00C22D36">
        <w:rPr>
          <w:shd w:val="clear" w:color="auto" w:fill="FFFFFF"/>
        </w:rPr>
        <w:t>R</w:t>
      </w:r>
      <w:r w:rsidRPr="00C22D36">
        <w:rPr>
          <w:shd w:val="clear" w:color="auto" w:fill="FFFFFF"/>
        </w:rPr>
        <w:t>obin.</w:t>
      </w:r>
      <w:r w:rsidR="00C22D36">
        <w:rPr>
          <w:shd w:val="clear" w:color="auto" w:fill="FFFFFF"/>
        </w:rPr>
        <w:t>B</w:t>
      </w:r>
      <w:r w:rsidRPr="00C22D36">
        <w:rPr>
          <w:shd w:val="clear" w:color="auto" w:fill="FFFFFF"/>
        </w:rPr>
        <w:t>ayes@u.northwestern.edu</w:t>
      </w:r>
    </w:p>
  </w:footnote>
  <w:footnote w:id="2">
    <w:p w14:paraId="441A422E" w14:textId="45444348" w:rsidR="00DE2EED" w:rsidRPr="00DE2EED" w:rsidRDefault="00DE2EED" w:rsidP="00EC467D">
      <w:r w:rsidRPr="00DE2EED">
        <w:rPr>
          <w:rStyle w:val="FootnoteReference"/>
        </w:rPr>
        <w:footnoteRef/>
      </w:r>
      <w:r w:rsidRPr="00DE2EED">
        <w:t xml:space="preserve"> Corresponding author: </w:t>
      </w:r>
      <w:r w:rsidR="00D45772">
        <w:t>Department of Political Science, Northwestern University, 601 University Place, Evanston, IL 60201</w:t>
      </w:r>
      <w:r w:rsidRPr="00D07994">
        <w:t xml:space="preserve">; </w:t>
      </w:r>
      <w:hyperlink r:id="rId1" w:history="1">
        <w:r w:rsidRPr="00EC467D">
          <w:rPr>
            <w:rStyle w:val="Hyperlink"/>
            <w:shd w:val="clear" w:color="auto" w:fill="FFFFFF"/>
          </w:rPr>
          <w:t>druckman@northwestern.edu</w:t>
        </w:r>
      </w:hyperlink>
      <w:r w:rsidRPr="00EC467D">
        <w:rPr>
          <w:color w:val="222222"/>
          <w:shd w:val="clear" w:color="auto" w:fill="FFFFFF"/>
        </w:rPr>
        <w:t xml:space="preserve">; </w:t>
      </w:r>
      <w:r w:rsidR="00D45772">
        <w:t>847-491-7450</w:t>
      </w:r>
      <w:r w:rsidR="00D45772">
        <w:rPr>
          <w:color w:val="222222"/>
          <w:shd w:val="clear" w:color="auto" w:fill="FFFFFF"/>
        </w:rPr>
        <w:t>.</w:t>
      </w:r>
    </w:p>
  </w:footnote>
  <w:footnote w:id="3">
    <w:p w14:paraId="62AAC3C1" w14:textId="390D27D8" w:rsidR="00DE2EED" w:rsidRDefault="00DE2EED">
      <w:pPr>
        <w:pStyle w:val="FootnoteText"/>
      </w:pPr>
      <w:r w:rsidRPr="00EC467D">
        <w:rPr>
          <w:rStyle w:val="FootnoteReference"/>
          <w:rFonts w:ascii="Times New Roman" w:hAnsi="Times New Roman" w:cs="Times New Roman"/>
          <w:sz w:val="24"/>
          <w:szCs w:val="24"/>
        </w:rPr>
        <w:footnoteRef/>
      </w:r>
      <w:r w:rsidRPr="00EC467D">
        <w:rPr>
          <w:rFonts w:ascii="Times New Roman" w:hAnsi="Times New Roman" w:cs="Times New Roman"/>
          <w:sz w:val="24"/>
          <w:szCs w:val="24"/>
        </w:rPr>
        <w:t xml:space="preserve"> Alauna_Safarpour@hks.harvard.edu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B8"/>
    <w:rsid w:val="000009FC"/>
    <w:rsid w:val="000043BC"/>
    <w:rsid w:val="00007E51"/>
    <w:rsid w:val="00016A97"/>
    <w:rsid w:val="000215BF"/>
    <w:rsid w:val="00023D73"/>
    <w:rsid w:val="00023DAE"/>
    <w:rsid w:val="00025C92"/>
    <w:rsid w:val="00026534"/>
    <w:rsid w:val="000340D2"/>
    <w:rsid w:val="0003442E"/>
    <w:rsid w:val="00040EF1"/>
    <w:rsid w:val="00044595"/>
    <w:rsid w:val="00050C4A"/>
    <w:rsid w:val="000551B6"/>
    <w:rsid w:val="0005623F"/>
    <w:rsid w:val="0006613A"/>
    <w:rsid w:val="00067144"/>
    <w:rsid w:val="0007122A"/>
    <w:rsid w:val="00071B09"/>
    <w:rsid w:val="00072BBD"/>
    <w:rsid w:val="000768BB"/>
    <w:rsid w:val="00082896"/>
    <w:rsid w:val="000918C9"/>
    <w:rsid w:val="00096561"/>
    <w:rsid w:val="000A0089"/>
    <w:rsid w:val="000A0B6B"/>
    <w:rsid w:val="000A0BBB"/>
    <w:rsid w:val="000A21BD"/>
    <w:rsid w:val="000A2596"/>
    <w:rsid w:val="000A5FD5"/>
    <w:rsid w:val="000B0285"/>
    <w:rsid w:val="000B6B10"/>
    <w:rsid w:val="000C0224"/>
    <w:rsid w:val="000C1214"/>
    <w:rsid w:val="000C718C"/>
    <w:rsid w:val="000D0820"/>
    <w:rsid w:val="000E20E4"/>
    <w:rsid w:val="000E5E07"/>
    <w:rsid w:val="000E796F"/>
    <w:rsid w:val="000F2BEE"/>
    <w:rsid w:val="000F4E71"/>
    <w:rsid w:val="000F6E8A"/>
    <w:rsid w:val="000F7113"/>
    <w:rsid w:val="00100E95"/>
    <w:rsid w:val="00106934"/>
    <w:rsid w:val="00113B08"/>
    <w:rsid w:val="001158E7"/>
    <w:rsid w:val="001170D5"/>
    <w:rsid w:val="0011744A"/>
    <w:rsid w:val="00117DAE"/>
    <w:rsid w:val="001233C5"/>
    <w:rsid w:val="00124050"/>
    <w:rsid w:val="00124196"/>
    <w:rsid w:val="001356FB"/>
    <w:rsid w:val="00140D07"/>
    <w:rsid w:val="00142354"/>
    <w:rsid w:val="00142607"/>
    <w:rsid w:val="00146557"/>
    <w:rsid w:val="00146738"/>
    <w:rsid w:val="00147837"/>
    <w:rsid w:val="001527F1"/>
    <w:rsid w:val="00154C44"/>
    <w:rsid w:val="00155258"/>
    <w:rsid w:val="0015646C"/>
    <w:rsid w:val="00160B28"/>
    <w:rsid w:val="001612FC"/>
    <w:rsid w:val="001671C6"/>
    <w:rsid w:val="00171678"/>
    <w:rsid w:val="00174BC9"/>
    <w:rsid w:val="00176F46"/>
    <w:rsid w:val="00183072"/>
    <w:rsid w:val="00195148"/>
    <w:rsid w:val="001B1254"/>
    <w:rsid w:val="001B1385"/>
    <w:rsid w:val="001B28F6"/>
    <w:rsid w:val="001B49BE"/>
    <w:rsid w:val="001C1510"/>
    <w:rsid w:val="001C1EE3"/>
    <w:rsid w:val="001D025A"/>
    <w:rsid w:val="001D1F3F"/>
    <w:rsid w:val="001D2012"/>
    <w:rsid w:val="001E10A0"/>
    <w:rsid w:val="001E114E"/>
    <w:rsid w:val="001E1738"/>
    <w:rsid w:val="001E73CF"/>
    <w:rsid w:val="001F132B"/>
    <w:rsid w:val="001F304B"/>
    <w:rsid w:val="001F3FFD"/>
    <w:rsid w:val="001F4DD0"/>
    <w:rsid w:val="002048CF"/>
    <w:rsid w:val="00205986"/>
    <w:rsid w:val="00207E44"/>
    <w:rsid w:val="00214628"/>
    <w:rsid w:val="00227125"/>
    <w:rsid w:val="00244460"/>
    <w:rsid w:val="0024621C"/>
    <w:rsid w:val="002543B9"/>
    <w:rsid w:val="00254FAB"/>
    <w:rsid w:val="002649B5"/>
    <w:rsid w:val="002748ED"/>
    <w:rsid w:val="00282A5B"/>
    <w:rsid w:val="0028532E"/>
    <w:rsid w:val="002867C7"/>
    <w:rsid w:val="00286AFE"/>
    <w:rsid w:val="00287A81"/>
    <w:rsid w:val="00293576"/>
    <w:rsid w:val="0029549A"/>
    <w:rsid w:val="00297E9F"/>
    <w:rsid w:val="002A3C68"/>
    <w:rsid w:val="002B2EFD"/>
    <w:rsid w:val="002C2CEC"/>
    <w:rsid w:val="002D0452"/>
    <w:rsid w:val="002D153D"/>
    <w:rsid w:val="002D1FA7"/>
    <w:rsid w:val="002D54B9"/>
    <w:rsid w:val="002D5FE5"/>
    <w:rsid w:val="002E3FBF"/>
    <w:rsid w:val="002E4AE0"/>
    <w:rsid w:val="002E5625"/>
    <w:rsid w:val="002E7E46"/>
    <w:rsid w:val="0030040A"/>
    <w:rsid w:val="0030403F"/>
    <w:rsid w:val="00304293"/>
    <w:rsid w:val="00305479"/>
    <w:rsid w:val="0030636F"/>
    <w:rsid w:val="00311D9E"/>
    <w:rsid w:val="003255F8"/>
    <w:rsid w:val="00340CB4"/>
    <w:rsid w:val="00341A80"/>
    <w:rsid w:val="00342397"/>
    <w:rsid w:val="003466A4"/>
    <w:rsid w:val="003477D7"/>
    <w:rsid w:val="00351AED"/>
    <w:rsid w:val="0036444B"/>
    <w:rsid w:val="00364C36"/>
    <w:rsid w:val="00366116"/>
    <w:rsid w:val="00366C30"/>
    <w:rsid w:val="0038381E"/>
    <w:rsid w:val="00386387"/>
    <w:rsid w:val="00387574"/>
    <w:rsid w:val="00391BDA"/>
    <w:rsid w:val="0039610C"/>
    <w:rsid w:val="00396186"/>
    <w:rsid w:val="003A4A38"/>
    <w:rsid w:val="003A4EDA"/>
    <w:rsid w:val="003A766C"/>
    <w:rsid w:val="003A78A0"/>
    <w:rsid w:val="003B2CF7"/>
    <w:rsid w:val="003C5993"/>
    <w:rsid w:val="003C6EA0"/>
    <w:rsid w:val="003D52C9"/>
    <w:rsid w:val="003E2CF0"/>
    <w:rsid w:val="003E5DB5"/>
    <w:rsid w:val="003E6E0A"/>
    <w:rsid w:val="003F2B09"/>
    <w:rsid w:val="00406C53"/>
    <w:rsid w:val="00406C5C"/>
    <w:rsid w:val="004115F0"/>
    <w:rsid w:val="00415F0D"/>
    <w:rsid w:val="00416B79"/>
    <w:rsid w:val="00417D7F"/>
    <w:rsid w:val="00420EFC"/>
    <w:rsid w:val="00427DD8"/>
    <w:rsid w:val="00431A40"/>
    <w:rsid w:val="00432FF2"/>
    <w:rsid w:val="00433959"/>
    <w:rsid w:val="0043552A"/>
    <w:rsid w:val="00436BB2"/>
    <w:rsid w:val="00437848"/>
    <w:rsid w:val="00443A38"/>
    <w:rsid w:val="0044527F"/>
    <w:rsid w:val="004506B6"/>
    <w:rsid w:val="00454BEA"/>
    <w:rsid w:val="00473C96"/>
    <w:rsid w:val="00477A51"/>
    <w:rsid w:val="00482589"/>
    <w:rsid w:val="004847C3"/>
    <w:rsid w:val="004923C5"/>
    <w:rsid w:val="00492740"/>
    <w:rsid w:val="00495A7D"/>
    <w:rsid w:val="00496B26"/>
    <w:rsid w:val="004A21F2"/>
    <w:rsid w:val="004A5D11"/>
    <w:rsid w:val="004B03E6"/>
    <w:rsid w:val="004B6DB2"/>
    <w:rsid w:val="004B7533"/>
    <w:rsid w:val="004C0039"/>
    <w:rsid w:val="004C00CA"/>
    <w:rsid w:val="004C190C"/>
    <w:rsid w:val="004C7272"/>
    <w:rsid w:val="004D1B66"/>
    <w:rsid w:val="004D40E0"/>
    <w:rsid w:val="004E22BA"/>
    <w:rsid w:val="004E341E"/>
    <w:rsid w:val="004E5F42"/>
    <w:rsid w:val="004E63EF"/>
    <w:rsid w:val="004E6A5B"/>
    <w:rsid w:val="004F13A1"/>
    <w:rsid w:val="004F1771"/>
    <w:rsid w:val="00500CA6"/>
    <w:rsid w:val="00501C93"/>
    <w:rsid w:val="00506D87"/>
    <w:rsid w:val="00515028"/>
    <w:rsid w:val="0051577D"/>
    <w:rsid w:val="00536B9C"/>
    <w:rsid w:val="00541CDE"/>
    <w:rsid w:val="00543A7D"/>
    <w:rsid w:val="00544895"/>
    <w:rsid w:val="00546AF5"/>
    <w:rsid w:val="00556C9C"/>
    <w:rsid w:val="0055799E"/>
    <w:rsid w:val="00563552"/>
    <w:rsid w:val="005644FA"/>
    <w:rsid w:val="00584C25"/>
    <w:rsid w:val="00593CC3"/>
    <w:rsid w:val="00595791"/>
    <w:rsid w:val="00597CAD"/>
    <w:rsid w:val="005A03B8"/>
    <w:rsid w:val="005A53E8"/>
    <w:rsid w:val="005A58D3"/>
    <w:rsid w:val="005A777D"/>
    <w:rsid w:val="005B38AB"/>
    <w:rsid w:val="005B7810"/>
    <w:rsid w:val="005C65CA"/>
    <w:rsid w:val="005D0642"/>
    <w:rsid w:val="005D0EBD"/>
    <w:rsid w:val="005D351D"/>
    <w:rsid w:val="005D3A5F"/>
    <w:rsid w:val="005D7C0F"/>
    <w:rsid w:val="005E7B18"/>
    <w:rsid w:val="00605154"/>
    <w:rsid w:val="0061094C"/>
    <w:rsid w:val="00610A2F"/>
    <w:rsid w:val="006265E8"/>
    <w:rsid w:val="006316B5"/>
    <w:rsid w:val="00633C8D"/>
    <w:rsid w:val="00643038"/>
    <w:rsid w:val="00644214"/>
    <w:rsid w:val="006450F0"/>
    <w:rsid w:val="00645DB0"/>
    <w:rsid w:val="006465FE"/>
    <w:rsid w:val="00651251"/>
    <w:rsid w:val="00652469"/>
    <w:rsid w:val="00652763"/>
    <w:rsid w:val="00662EEB"/>
    <w:rsid w:val="00680F7D"/>
    <w:rsid w:val="00682250"/>
    <w:rsid w:val="00682F28"/>
    <w:rsid w:val="00683BA4"/>
    <w:rsid w:val="00690310"/>
    <w:rsid w:val="006914D9"/>
    <w:rsid w:val="00697F64"/>
    <w:rsid w:val="006A10AD"/>
    <w:rsid w:val="006A2B0B"/>
    <w:rsid w:val="006A4A98"/>
    <w:rsid w:val="006B1DDD"/>
    <w:rsid w:val="006B3BF6"/>
    <w:rsid w:val="006C094E"/>
    <w:rsid w:val="006C13E8"/>
    <w:rsid w:val="006C1E65"/>
    <w:rsid w:val="006D0B8B"/>
    <w:rsid w:val="006D13FC"/>
    <w:rsid w:val="006D192A"/>
    <w:rsid w:val="006D2E20"/>
    <w:rsid w:val="006E2BB3"/>
    <w:rsid w:val="006F61A5"/>
    <w:rsid w:val="006F7A74"/>
    <w:rsid w:val="007060A8"/>
    <w:rsid w:val="007130AA"/>
    <w:rsid w:val="007131C7"/>
    <w:rsid w:val="0071355C"/>
    <w:rsid w:val="007166FB"/>
    <w:rsid w:val="0072129A"/>
    <w:rsid w:val="00726741"/>
    <w:rsid w:val="00727DFA"/>
    <w:rsid w:val="007333CF"/>
    <w:rsid w:val="0073549A"/>
    <w:rsid w:val="007374DB"/>
    <w:rsid w:val="007428D3"/>
    <w:rsid w:val="00742D4E"/>
    <w:rsid w:val="007470E9"/>
    <w:rsid w:val="00751092"/>
    <w:rsid w:val="00751762"/>
    <w:rsid w:val="00753FD4"/>
    <w:rsid w:val="007734B8"/>
    <w:rsid w:val="00774631"/>
    <w:rsid w:val="00785232"/>
    <w:rsid w:val="007939AF"/>
    <w:rsid w:val="0079676A"/>
    <w:rsid w:val="007A0F33"/>
    <w:rsid w:val="007A5698"/>
    <w:rsid w:val="007B00DF"/>
    <w:rsid w:val="007B5BCE"/>
    <w:rsid w:val="007C1696"/>
    <w:rsid w:val="007C2509"/>
    <w:rsid w:val="007C2BAE"/>
    <w:rsid w:val="007C6AFD"/>
    <w:rsid w:val="007C711B"/>
    <w:rsid w:val="007D0455"/>
    <w:rsid w:val="007D0633"/>
    <w:rsid w:val="007E0D23"/>
    <w:rsid w:val="007E38C3"/>
    <w:rsid w:val="007E533E"/>
    <w:rsid w:val="007F3E42"/>
    <w:rsid w:val="00811499"/>
    <w:rsid w:val="008116EC"/>
    <w:rsid w:val="00812E1E"/>
    <w:rsid w:val="00814692"/>
    <w:rsid w:val="008170F4"/>
    <w:rsid w:val="0081776C"/>
    <w:rsid w:val="00820DBE"/>
    <w:rsid w:val="00823BDF"/>
    <w:rsid w:val="008321E5"/>
    <w:rsid w:val="00834F1E"/>
    <w:rsid w:val="00856483"/>
    <w:rsid w:val="008567B0"/>
    <w:rsid w:val="00856EA6"/>
    <w:rsid w:val="00857AD9"/>
    <w:rsid w:val="008665DB"/>
    <w:rsid w:val="0089580F"/>
    <w:rsid w:val="008A00CA"/>
    <w:rsid w:val="008A248C"/>
    <w:rsid w:val="008B371E"/>
    <w:rsid w:val="008B6A54"/>
    <w:rsid w:val="008C09EC"/>
    <w:rsid w:val="008C1CFC"/>
    <w:rsid w:val="008D359A"/>
    <w:rsid w:val="008E040C"/>
    <w:rsid w:val="008F07B3"/>
    <w:rsid w:val="008F34B4"/>
    <w:rsid w:val="008F3BA0"/>
    <w:rsid w:val="0090130E"/>
    <w:rsid w:val="0090526A"/>
    <w:rsid w:val="009071B0"/>
    <w:rsid w:val="009167BD"/>
    <w:rsid w:val="0092120A"/>
    <w:rsid w:val="00924034"/>
    <w:rsid w:val="00925837"/>
    <w:rsid w:val="009271BA"/>
    <w:rsid w:val="0092726E"/>
    <w:rsid w:val="00927657"/>
    <w:rsid w:val="00927B81"/>
    <w:rsid w:val="009301A5"/>
    <w:rsid w:val="00930822"/>
    <w:rsid w:val="00931EB2"/>
    <w:rsid w:val="00942A92"/>
    <w:rsid w:val="00947F31"/>
    <w:rsid w:val="009520FF"/>
    <w:rsid w:val="00961CE5"/>
    <w:rsid w:val="00963DD0"/>
    <w:rsid w:val="00963FFC"/>
    <w:rsid w:val="00972802"/>
    <w:rsid w:val="00974980"/>
    <w:rsid w:val="00984017"/>
    <w:rsid w:val="00997042"/>
    <w:rsid w:val="009972B0"/>
    <w:rsid w:val="009A5014"/>
    <w:rsid w:val="009A5171"/>
    <w:rsid w:val="009B0CD3"/>
    <w:rsid w:val="009B0ED9"/>
    <w:rsid w:val="009B7BED"/>
    <w:rsid w:val="009C257B"/>
    <w:rsid w:val="009C2AB6"/>
    <w:rsid w:val="009C7A96"/>
    <w:rsid w:val="009C7EB8"/>
    <w:rsid w:val="009D422B"/>
    <w:rsid w:val="009E4B7A"/>
    <w:rsid w:val="009E7197"/>
    <w:rsid w:val="009F19B2"/>
    <w:rsid w:val="009F3BF4"/>
    <w:rsid w:val="009F3C97"/>
    <w:rsid w:val="00A004D2"/>
    <w:rsid w:val="00A07B0F"/>
    <w:rsid w:val="00A12618"/>
    <w:rsid w:val="00A17F9E"/>
    <w:rsid w:val="00A26860"/>
    <w:rsid w:val="00A323E1"/>
    <w:rsid w:val="00A3382A"/>
    <w:rsid w:val="00A37C5A"/>
    <w:rsid w:val="00A4071B"/>
    <w:rsid w:val="00A4150F"/>
    <w:rsid w:val="00A41F3F"/>
    <w:rsid w:val="00A420A4"/>
    <w:rsid w:val="00A56DC2"/>
    <w:rsid w:val="00A8002E"/>
    <w:rsid w:val="00A819B7"/>
    <w:rsid w:val="00A834CA"/>
    <w:rsid w:val="00A8573F"/>
    <w:rsid w:val="00A87A5D"/>
    <w:rsid w:val="00A915CF"/>
    <w:rsid w:val="00A9543D"/>
    <w:rsid w:val="00A95472"/>
    <w:rsid w:val="00A961D7"/>
    <w:rsid w:val="00AA7344"/>
    <w:rsid w:val="00AB59C5"/>
    <w:rsid w:val="00AD5ECC"/>
    <w:rsid w:val="00AE13D7"/>
    <w:rsid w:val="00AE687E"/>
    <w:rsid w:val="00AE6CD5"/>
    <w:rsid w:val="00AF2230"/>
    <w:rsid w:val="00B02579"/>
    <w:rsid w:val="00B07F66"/>
    <w:rsid w:val="00B118C0"/>
    <w:rsid w:val="00B11BD8"/>
    <w:rsid w:val="00B17298"/>
    <w:rsid w:val="00B21659"/>
    <w:rsid w:val="00B2767F"/>
    <w:rsid w:val="00B30123"/>
    <w:rsid w:val="00B32102"/>
    <w:rsid w:val="00B32330"/>
    <w:rsid w:val="00B33288"/>
    <w:rsid w:val="00B33E58"/>
    <w:rsid w:val="00B36EB4"/>
    <w:rsid w:val="00B41914"/>
    <w:rsid w:val="00B44B93"/>
    <w:rsid w:val="00B465DB"/>
    <w:rsid w:val="00B46BCA"/>
    <w:rsid w:val="00B51E4C"/>
    <w:rsid w:val="00B55133"/>
    <w:rsid w:val="00B57DAC"/>
    <w:rsid w:val="00B60AA3"/>
    <w:rsid w:val="00B61598"/>
    <w:rsid w:val="00B61DC1"/>
    <w:rsid w:val="00B61F12"/>
    <w:rsid w:val="00B64B3E"/>
    <w:rsid w:val="00B71024"/>
    <w:rsid w:val="00B737C4"/>
    <w:rsid w:val="00B74AF6"/>
    <w:rsid w:val="00B74B5A"/>
    <w:rsid w:val="00B755B2"/>
    <w:rsid w:val="00B7573D"/>
    <w:rsid w:val="00B91044"/>
    <w:rsid w:val="00B91BD7"/>
    <w:rsid w:val="00B95D9B"/>
    <w:rsid w:val="00BA5561"/>
    <w:rsid w:val="00BA7A17"/>
    <w:rsid w:val="00BB397E"/>
    <w:rsid w:val="00BB61FB"/>
    <w:rsid w:val="00BB6408"/>
    <w:rsid w:val="00BB65D3"/>
    <w:rsid w:val="00BC73AB"/>
    <w:rsid w:val="00BD23AD"/>
    <w:rsid w:val="00BD4D42"/>
    <w:rsid w:val="00BE5D7B"/>
    <w:rsid w:val="00BF3287"/>
    <w:rsid w:val="00BF5D5C"/>
    <w:rsid w:val="00C04E35"/>
    <w:rsid w:val="00C0659E"/>
    <w:rsid w:val="00C1337A"/>
    <w:rsid w:val="00C176E7"/>
    <w:rsid w:val="00C177D7"/>
    <w:rsid w:val="00C20AC7"/>
    <w:rsid w:val="00C22D36"/>
    <w:rsid w:val="00C22EB5"/>
    <w:rsid w:val="00C328DC"/>
    <w:rsid w:val="00C33961"/>
    <w:rsid w:val="00C474EA"/>
    <w:rsid w:val="00C64C09"/>
    <w:rsid w:val="00C6595C"/>
    <w:rsid w:val="00C7092F"/>
    <w:rsid w:val="00C72F11"/>
    <w:rsid w:val="00C7401E"/>
    <w:rsid w:val="00C75E7B"/>
    <w:rsid w:val="00C77C72"/>
    <w:rsid w:val="00C85161"/>
    <w:rsid w:val="00C85ABD"/>
    <w:rsid w:val="00C9241D"/>
    <w:rsid w:val="00C92D51"/>
    <w:rsid w:val="00C976FE"/>
    <w:rsid w:val="00CB29A1"/>
    <w:rsid w:val="00CB3C52"/>
    <w:rsid w:val="00CC00E0"/>
    <w:rsid w:val="00CD2782"/>
    <w:rsid w:val="00CD33FE"/>
    <w:rsid w:val="00CD4F12"/>
    <w:rsid w:val="00CD4F4A"/>
    <w:rsid w:val="00CD786A"/>
    <w:rsid w:val="00CE0A8A"/>
    <w:rsid w:val="00CF1AA4"/>
    <w:rsid w:val="00CF2768"/>
    <w:rsid w:val="00CF4E76"/>
    <w:rsid w:val="00CF683E"/>
    <w:rsid w:val="00D00969"/>
    <w:rsid w:val="00D07994"/>
    <w:rsid w:val="00D10AC1"/>
    <w:rsid w:val="00D13213"/>
    <w:rsid w:val="00D227BD"/>
    <w:rsid w:val="00D3272C"/>
    <w:rsid w:val="00D348E9"/>
    <w:rsid w:val="00D34EF9"/>
    <w:rsid w:val="00D37D3D"/>
    <w:rsid w:val="00D44497"/>
    <w:rsid w:val="00D44820"/>
    <w:rsid w:val="00D45772"/>
    <w:rsid w:val="00D46333"/>
    <w:rsid w:val="00D549E6"/>
    <w:rsid w:val="00D625FB"/>
    <w:rsid w:val="00D673DE"/>
    <w:rsid w:val="00D73875"/>
    <w:rsid w:val="00D74B44"/>
    <w:rsid w:val="00D7502A"/>
    <w:rsid w:val="00D756FC"/>
    <w:rsid w:val="00D77291"/>
    <w:rsid w:val="00D80000"/>
    <w:rsid w:val="00D82E48"/>
    <w:rsid w:val="00D877BC"/>
    <w:rsid w:val="00D96758"/>
    <w:rsid w:val="00DA009E"/>
    <w:rsid w:val="00DA11AA"/>
    <w:rsid w:val="00DA1385"/>
    <w:rsid w:val="00DA4DD0"/>
    <w:rsid w:val="00DA7764"/>
    <w:rsid w:val="00DB540A"/>
    <w:rsid w:val="00DC377F"/>
    <w:rsid w:val="00DC5CEA"/>
    <w:rsid w:val="00DD0111"/>
    <w:rsid w:val="00DD175A"/>
    <w:rsid w:val="00DD509A"/>
    <w:rsid w:val="00DD5929"/>
    <w:rsid w:val="00DE2EED"/>
    <w:rsid w:val="00DF79C3"/>
    <w:rsid w:val="00E06CE9"/>
    <w:rsid w:val="00E11F81"/>
    <w:rsid w:val="00E229FA"/>
    <w:rsid w:val="00E22F85"/>
    <w:rsid w:val="00E3329A"/>
    <w:rsid w:val="00E4145A"/>
    <w:rsid w:val="00E41E3C"/>
    <w:rsid w:val="00E430F8"/>
    <w:rsid w:val="00E440F2"/>
    <w:rsid w:val="00E44253"/>
    <w:rsid w:val="00E4431E"/>
    <w:rsid w:val="00E45CE9"/>
    <w:rsid w:val="00E50863"/>
    <w:rsid w:val="00E51171"/>
    <w:rsid w:val="00E5302E"/>
    <w:rsid w:val="00E54DA3"/>
    <w:rsid w:val="00E567CC"/>
    <w:rsid w:val="00E629BC"/>
    <w:rsid w:val="00E67A6E"/>
    <w:rsid w:val="00E727BA"/>
    <w:rsid w:val="00E738DD"/>
    <w:rsid w:val="00E77ACF"/>
    <w:rsid w:val="00E821C6"/>
    <w:rsid w:val="00E936B8"/>
    <w:rsid w:val="00EA0427"/>
    <w:rsid w:val="00EA5E8C"/>
    <w:rsid w:val="00EB07CB"/>
    <w:rsid w:val="00EB66EE"/>
    <w:rsid w:val="00EC467D"/>
    <w:rsid w:val="00ED00A1"/>
    <w:rsid w:val="00ED1823"/>
    <w:rsid w:val="00ED6ECA"/>
    <w:rsid w:val="00EE0FC5"/>
    <w:rsid w:val="00EE1808"/>
    <w:rsid w:val="00EE61A3"/>
    <w:rsid w:val="00EF6104"/>
    <w:rsid w:val="00EF7E86"/>
    <w:rsid w:val="00F00AD3"/>
    <w:rsid w:val="00F055F7"/>
    <w:rsid w:val="00F06DBC"/>
    <w:rsid w:val="00F14803"/>
    <w:rsid w:val="00F22280"/>
    <w:rsid w:val="00F272FB"/>
    <w:rsid w:val="00F43558"/>
    <w:rsid w:val="00F454CE"/>
    <w:rsid w:val="00F45F77"/>
    <w:rsid w:val="00F465E8"/>
    <w:rsid w:val="00F54FD5"/>
    <w:rsid w:val="00F6010C"/>
    <w:rsid w:val="00F6498F"/>
    <w:rsid w:val="00F65C86"/>
    <w:rsid w:val="00F662BF"/>
    <w:rsid w:val="00F77BDA"/>
    <w:rsid w:val="00F90C8D"/>
    <w:rsid w:val="00FA0170"/>
    <w:rsid w:val="00FA4DE0"/>
    <w:rsid w:val="00FB0372"/>
    <w:rsid w:val="00FB3D66"/>
    <w:rsid w:val="00FB77BC"/>
    <w:rsid w:val="00FC2353"/>
    <w:rsid w:val="00FC47BE"/>
    <w:rsid w:val="00FC7106"/>
    <w:rsid w:val="00FD357B"/>
    <w:rsid w:val="00FE1A7C"/>
    <w:rsid w:val="00FE1B8B"/>
    <w:rsid w:val="00FE7B8A"/>
    <w:rsid w:val="00FF3114"/>
    <w:rsid w:val="00FF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D21B"/>
  <w15:docId w15:val="{4819513B-B4D6-459E-B5F6-3C8D9E3E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8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spacing w:after="160"/>
      <w:outlineLvl w:val="0"/>
    </w:pPr>
    <w:rPr>
      <w:b/>
      <w:sz w:val="48"/>
      <w:szCs w:val="48"/>
    </w:rPr>
  </w:style>
  <w:style w:type="paragraph" w:styleId="Heading2">
    <w:name w:val="heading 2"/>
    <w:basedOn w:val="Normal"/>
    <w:next w:val="Normal"/>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pPr>
      <w:keepNext/>
      <w:keepLines/>
      <w:spacing w:before="360" w:after="80" w:line="259" w:lineRule="auto"/>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0B8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D0B8B"/>
    <w:rPr>
      <w:rFonts w:ascii="Segoe UI" w:hAnsi="Segoe UI" w:cs="Segoe UI"/>
      <w:sz w:val="18"/>
      <w:szCs w:val="18"/>
    </w:rPr>
  </w:style>
  <w:style w:type="character" w:styleId="Hyperlink">
    <w:name w:val="Hyperlink"/>
    <w:basedOn w:val="DefaultParagraphFont"/>
    <w:uiPriority w:val="99"/>
    <w:unhideWhenUsed/>
    <w:rsid w:val="006D0B8B"/>
    <w:rPr>
      <w:color w:val="0000FF" w:themeColor="hyperlink"/>
      <w:u w:val="single"/>
    </w:rPr>
  </w:style>
  <w:style w:type="paragraph" w:styleId="Header">
    <w:name w:val="header"/>
    <w:basedOn w:val="Normal"/>
    <w:link w:val="HeaderChar"/>
    <w:uiPriority w:val="99"/>
    <w:unhideWhenUsed/>
    <w:rsid w:val="002D1FA7"/>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2D1FA7"/>
  </w:style>
  <w:style w:type="paragraph" w:styleId="Footer">
    <w:name w:val="footer"/>
    <w:basedOn w:val="Normal"/>
    <w:link w:val="FooterChar"/>
    <w:uiPriority w:val="99"/>
    <w:unhideWhenUsed/>
    <w:rsid w:val="002D1FA7"/>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2D1FA7"/>
  </w:style>
  <w:style w:type="paragraph" w:styleId="FootnoteText">
    <w:name w:val="footnote text"/>
    <w:basedOn w:val="Normal"/>
    <w:link w:val="FootnoteTextChar"/>
    <w:uiPriority w:val="99"/>
    <w:unhideWhenUsed/>
    <w:rsid w:val="00AE687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E687E"/>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E687E"/>
    <w:rPr>
      <w:vertAlign w:val="superscript"/>
    </w:rPr>
  </w:style>
  <w:style w:type="character" w:styleId="Emphasis">
    <w:name w:val="Emphasis"/>
    <w:basedOn w:val="DefaultParagraphFont"/>
    <w:uiPriority w:val="20"/>
    <w:qFormat/>
    <w:rsid w:val="00B71024"/>
    <w:rPr>
      <w:i/>
      <w:iCs/>
    </w:rPr>
  </w:style>
  <w:style w:type="paragraph" w:styleId="NormalWeb">
    <w:name w:val="Normal (Web)"/>
    <w:basedOn w:val="Normal"/>
    <w:uiPriority w:val="99"/>
    <w:semiHidden/>
    <w:unhideWhenUsed/>
    <w:rsid w:val="00BB6408"/>
    <w:pPr>
      <w:spacing w:before="100" w:beforeAutospacing="1" w:after="100" w:afterAutospacing="1"/>
    </w:pPr>
  </w:style>
  <w:style w:type="character" w:styleId="Strong">
    <w:name w:val="Strong"/>
    <w:basedOn w:val="DefaultParagraphFont"/>
    <w:uiPriority w:val="22"/>
    <w:qFormat/>
    <w:rsid w:val="00BB6408"/>
    <w:rPr>
      <w:b/>
      <w:bCs/>
    </w:rPr>
  </w:style>
  <w:style w:type="character" w:customStyle="1" w:styleId="text">
    <w:name w:val="text"/>
    <w:basedOn w:val="DefaultParagraphFont"/>
    <w:rsid w:val="0030636F"/>
  </w:style>
  <w:style w:type="character" w:styleId="FollowedHyperlink">
    <w:name w:val="FollowedHyperlink"/>
    <w:basedOn w:val="DefaultParagraphFont"/>
    <w:uiPriority w:val="99"/>
    <w:semiHidden/>
    <w:unhideWhenUsed/>
    <w:rsid w:val="0003442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74AF6"/>
    <w:rPr>
      <w:b/>
      <w:bCs/>
    </w:rPr>
  </w:style>
  <w:style w:type="character" w:customStyle="1" w:styleId="CommentSubjectChar">
    <w:name w:val="Comment Subject Char"/>
    <w:basedOn w:val="CommentTextChar"/>
    <w:link w:val="CommentSubject"/>
    <w:uiPriority w:val="99"/>
    <w:semiHidden/>
    <w:rsid w:val="00B74AF6"/>
    <w:rPr>
      <w:b/>
      <w:bCs/>
      <w:sz w:val="20"/>
      <w:szCs w:val="20"/>
    </w:rPr>
  </w:style>
  <w:style w:type="character" w:customStyle="1" w:styleId="apple-converted-space">
    <w:name w:val="apple-converted-space"/>
    <w:basedOn w:val="DefaultParagraphFont"/>
    <w:rsid w:val="00EE61A3"/>
  </w:style>
  <w:style w:type="character" w:styleId="UnresolvedMention">
    <w:name w:val="Unresolved Mention"/>
    <w:basedOn w:val="DefaultParagraphFont"/>
    <w:uiPriority w:val="99"/>
    <w:semiHidden/>
    <w:unhideWhenUsed/>
    <w:rsid w:val="00F45F77"/>
    <w:rPr>
      <w:color w:val="605E5C"/>
      <w:shd w:val="clear" w:color="auto" w:fill="E1DFDD"/>
    </w:rPr>
  </w:style>
  <w:style w:type="paragraph" w:styleId="EndnoteText">
    <w:name w:val="endnote text"/>
    <w:basedOn w:val="Normal"/>
    <w:link w:val="EndnoteTextChar"/>
    <w:uiPriority w:val="99"/>
    <w:semiHidden/>
    <w:unhideWhenUsed/>
    <w:rsid w:val="00643038"/>
    <w:rPr>
      <w:sz w:val="20"/>
      <w:szCs w:val="20"/>
    </w:rPr>
  </w:style>
  <w:style w:type="character" w:customStyle="1" w:styleId="EndnoteTextChar">
    <w:name w:val="Endnote Text Char"/>
    <w:basedOn w:val="DefaultParagraphFont"/>
    <w:link w:val="EndnoteText"/>
    <w:uiPriority w:val="99"/>
    <w:semiHidden/>
    <w:rsid w:val="0064303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43038"/>
    <w:rPr>
      <w:vertAlign w:val="superscript"/>
    </w:rPr>
  </w:style>
  <w:style w:type="paragraph" w:styleId="Revision">
    <w:name w:val="Revision"/>
    <w:hidden/>
    <w:uiPriority w:val="99"/>
    <w:semiHidden/>
    <w:rsid w:val="00EC467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7619">
      <w:bodyDiv w:val="1"/>
      <w:marLeft w:val="0"/>
      <w:marRight w:val="0"/>
      <w:marTop w:val="0"/>
      <w:marBottom w:val="0"/>
      <w:divBdr>
        <w:top w:val="none" w:sz="0" w:space="0" w:color="auto"/>
        <w:left w:val="none" w:sz="0" w:space="0" w:color="auto"/>
        <w:bottom w:val="none" w:sz="0" w:space="0" w:color="auto"/>
        <w:right w:val="none" w:sz="0" w:space="0" w:color="auto"/>
      </w:divBdr>
    </w:div>
    <w:div w:id="436994358">
      <w:bodyDiv w:val="1"/>
      <w:marLeft w:val="0"/>
      <w:marRight w:val="0"/>
      <w:marTop w:val="0"/>
      <w:marBottom w:val="0"/>
      <w:divBdr>
        <w:top w:val="none" w:sz="0" w:space="0" w:color="auto"/>
        <w:left w:val="none" w:sz="0" w:space="0" w:color="auto"/>
        <w:bottom w:val="none" w:sz="0" w:space="0" w:color="auto"/>
        <w:right w:val="none" w:sz="0" w:space="0" w:color="auto"/>
      </w:divBdr>
      <w:divsChild>
        <w:div w:id="2052143363">
          <w:marLeft w:val="0"/>
          <w:marRight w:val="0"/>
          <w:marTop w:val="0"/>
          <w:marBottom w:val="0"/>
          <w:divBdr>
            <w:top w:val="none" w:sz="0" w:space="0" w:color="auto"/>
            <w:left w:val="none" w:sz="0" w:space="0" w:color="auto"/>
            <w:bottom w:val="none" w:sz="0" w:space="0" w:color="auto"/>
            <w:right w:val="none" w:sz="0" w:space="0" w:color="auto"/>
          </w:divBdr>
        </w:div>
        <w:div w:id="997340363">
          <w:marLeft w:val="0"/>
          <w:marRight w:val="0"/>
          <w:marTop w:val="0"/>
          <w:marBottom w:val="0"/>
          <w:divBdr>
            <w:top w:val="none" w:sz="0" w:space="0" w:color="auto"/>
            <w:left w:val="none" w:sz="0" w:space="0" w:color="auto"/>
            <w:bottom w:val="none" w:sz="0" w:space="0" w:color="auto"/>
            <w:right w:val="none" w:sz="0" w:space="0" w:color="auto"/>
          </w:divBdr>
        </w:div>
        <w:div w:id="1543394796">
          <w:marLeft w:val="0"/>
          <w:marRight w:val="0"/>
          <w:marTop w:val="0"/>
          <w:marBottom w:val="0"/>
          <w:divBdr>
            <w:top w:val="none" w:sz="0" w:space="0" w:color="auto"/>
            <w:left w:val="none" w:sz="0" w:space="0" w:color="auto"/>
            <w:bottom w:val="none" w:sz="0" w:space="0" w:color="auto"/>
            <w:right w:val="none" w:sz="0" w:space="0" w:color="auto"/>
          </w:divBdr>
        </w:div>
        <w:div w:id="1759516423">
          <w:marLeft w:val="0"/>
          <w:marRight w:val="0"/>
          <w:marTop w:val="0"/>
          <w:marBottom w:val="0"/>
          <w:divBdr>
            <w:top w:val="none" w:sz="0" w:space="0" w:color="auto"/>
            <w:left w:val="none" w:sz="0" w:space="0" w:color="auto"/>
            <w:bottom w:val="none" w:sz="0" w:space="0" w:color="auto"/>
            <w:right w:val="none" w:sz="0" w:space="0" w:color="auto"/>
          </w:divBdr>
        </w:div>
        <w:div w:id="2053377887">
          <w:marLeft w:val="0"/>
          <w:marRight w:val="0"/>
          <w:marTop w:val="0"/>
          <w:marBottom w:val="0"/>
          <w:divBdr>
            <w:top w:val="none" w:sz="0" w:space="0" w:color="auto"/>
            <w:left w:val="none" w:sz="0" w:space="0" w:color="auto"/>
            <w:bottom w:val="none" w:sz="0" w:space="0" w:color="auto"/>
            <w:right w:val="none" w:sz="0" w:space="0" w:color="auto"/>
          </w:divBdr>
        </w:div>
        <w:div w:id="925115552">
          <w:marLeft w:val="0"/>
          <w:marRight w:val="0"/>
          <w:marTop w:val="0"/>
          <w:marBottom w:val="0"/>
          <w:divBdr>
            <w:top w:val="none" w:sz="0" w:space="0" w:color="auto"/>
            <w:left w:val="none" w:sz="0" w:space="0" w:color="auto"/>
            <w:bottom w:val="none" w:sz="0" w:space="0" w:color="auto"/>
            <w:right w:val="none" w:sz="0" w:space="0" w:color="auto"/>
          </w:divBdr>
        </w:div>
        <w:div w:id="623001129">
          <w:marLeft w:val="0"/>
          <w:marRight w:val="0"/>
          <w:marTop w:val="0"/>
          <w:marBottom w:val="0"/>
          <w:divBdr>
            <w:top w:val="none" w:sz="0" w:space="0" w:color="auto"/>
            <w:left w:val="none" w:sz="0" w:space="0" w:color="auto"/>
            <w:bottom w:val="none" w:sz="0" w:space="0" w:color="auto"/>
            <w:right w:val="none" w:sz="0" w:space="0" w:color="auto"/>
          </w:divBdr>
        </w:div>
        <w:div w:id="1243683000">
          <w:marLeft w:val="0"/>
          <w:marRight w:val="0"/>
          <w:marTop w:val="0"/>
          <w:marBottom w:val="0"/>
          <w:divBdr>
            <w:top w:val="none" w:sz="0" w:space="0" w:color="auto"/>
            <w:left w:val="none" w:sz="0" w:space="0" w:color="auto"/>
            <w:bottom w:val="none" w:sz="0" w:space="0" w:color="auto"/>
            <w:right w:val="none" w:sz="0" w:space="0" w:color="auto"/>
          </w:divBdr>
        </w:div>
        <w:div w:id="1192498542">
          <w:marLeft w:val="0"/>
          <w:marRight w:val="0"/>
          <w:marTop w:val="0"/>
          <w:marBottom w:val="0"/>
          <w:divBdr>
            <w:top w:val="none" w:sz="0" w:space="0" w:color="auto"/>
            <w:left w:val="none" w:sz="0" w:space="0" w:color="auto"/>
            <w:bottom w:val="none" w:sz="0" w:space="0" w:color="auto"/>
            <w:right w:val="none" w:sz="0" w:space="0" w:color="auto"/>
          </w:divBdr>
        </w:div>
        <w:div w:id="666399056">
          <w:marLeft w:val="0"/>
          <w:marRight w:val="0"/>
          <w:marTop w:val="0"/>
          <w:marBottom w:val="0"/>
          <w:divBdr>
            <w:top w:val="none" w:sz="0" w:space="0" w:color="auto"/>
            <w:left w:val="none" w:sz="0" w:space="0" w:color="auto"/>
            <w:bottom w:val="none" w:sz="0" w:space="0" w:color="auto"/>
            <w:right w:val="none" w:sz="0" w:space="0" w:color="auto"/>
          </w:divBdr>
        </w:div>
        <w:div w:id="713165333">
          <w:marLeft w:val="0"/>
          <w:marRight w:val="0"/>
          <w:marTop w:val="0"/>
          <w:marBottom w:val="0"/>
          <w:divBdr>
            <w:top w:val="none" w:sz="0" w:space="0" w:color="auto"/>
            <w:left w:val="none" w:sz="0" w:space="0" w:color="auto"/>
            <w:bottom w:val="none" w:sz="0" w:space="0" w:color="auto"/>
            <w:right w:val="none" w:sz="0" w:space="0" w:color="auto"/>
          </w:divBdr>
        </w:div>
        <w:div w:id="1670282115">
          <w:marLeft w:val="0"/>
          <w:marRight w:val="0"/>
          <w:marTop w:val="0"/>
          <w:marBottom w:val="0"/>
          <w:divBdr>
            <w:top w:val="none" w:sz="0" w:space="0" w:color="auto"/>
            <w:left w:val="none" w:sz="0" w:space="0" w:color="auto"/>
            <w:bottom w:val="none" w:sz="0" w:space="0" w:color="auto"/>
            <w:right w:val="none" w:sz="0" w:space="0" w:color="auto"/>
          </w:divBdr>
        </w:div>
        <w:div w:id="199517372">
          <w:marLeft w:val="0"/>
          <w:marRight w:val="0"/>
          <w:marTop w:val="0"/>
          <w:marBottom w:val="0"/>
          <w:divBdr>
            <w:top w:val="none" w:sz="0" w:space="0" w:color="auto"/>
            <w:left w:val="none" w:sz="0" w:space="0" w:color="auto"/>
            <w:bottom w:val="none" w:sz="0" w:space="0" w:color="auto"/>
            <w:right w:val="none" w:sz="0" w:space="0" w:color="auto"/>
          </w:divBdr>
        </w:div>
        <w:div w:id="772751762">
          <w:marLeft w:val="0"/>
          <w:marRight w:val="0"/>
          <w:marTop w:val="0"/>
          <w:marBottom w:val="0"/>
          <w:divBdr>
            <w:top w:val="none" w:sz="0" w:space="0" w:color="auto"/>
            <w:left w:val="none" w:sz="0" w:space="0" w:color="auto"/>
            <w:bottom w:val="none" w:sz="0" w:space="0" w:color="auto"/>
            <w:right w:val="none" w:sz="0" w:space="0" w:color="auto"/>
          </w:divBdr>
        </w:div>
        <w:div w:id="107312477">
          <w:marLeft w:val="0"/>
          <w:marRight w:val="0"/>
          <w:marTop w:val="0"/>
          <w:marBottom w:val="0"/>
          <w:divBdr>
            <w:top w:val="none" w:sz="0" w:space="0" w:color="auto"/>
            <w:left w:val="none" w:sz="0" w:space="0" w:color="auto"/>
            <w:bottom w:val="none" w:sz="0" w:space="0" w:color="auto"/>
            <w:right w:val="none" w:sz="0" w:space="0" w:color="auto"/>
          </w:divBdr>
        </w:div>
        <w:div w:id="307055028">
          <w:marLeft w:val="0"/>
          <w:marRight w:val="0"/>
          <w:marTop w:val="0"/>
          <w:marBottom w:val="0"/>
          <w:divBdr>
            <w:top w:val="none" w:sz="0" w:space="0" w:color="auto"/>
            <w:left w:val="none" w:sz="0" w:space="0" w:color="auto"/>
            <w:bottom w:val="none" w:sz="0" w:space="0" w:color="auto"/>
            <w:right w:val="none" w:sz="0" w:space="0" w:color="auto"/>
          </w:divBdr>
        </w:div>
      </w:divsChild>
    </w:div>
    <w:div w:id="465780860">
      <w:bodyDiv w:val="1"/>
      <w:marLeft w:val="0"/>
      <w:marRight w:val="0"/>
      <w:marTop w:val="0"/>
      <w:marBottom w:val="0"/>
      <w:divBdr>
        <w:top w:val="none" w:sz="0" w:space="0" w:color="auto"/>
        <w:left w:val="none" w:sz="0" w:space="0" w:color="auto"/>
        <w:bottom w:val="none" w:sz="0" w:space="0" w:color="auto"/>
        <w:right w:val="none" w:sz="0" w:space="0" w:color="auto"/>
      </w:divBdr>
    </w:div>
    <w:div w:id="482233869">
      <w:bodyDiv w:val="1"/>
      <w:marLeft w:val="0"/>
      <w:marRight w:val="0"/>
      <w:marTop w:val="0"/>
      <w:marBottom w:val="0"/>
      <w:divBdr>
        <w:top w:val="none" w:sz="0" w:space="0" w:color="auto"/>
        <w:left w:val="none" w:sz="0" w:space="0" w:color="auto"/>
        <w:bottom w:val="none" w:sz="0" w:space="0" w:color="auto"/>
        <w:right w:val="none" w:sz="0" w:space="0" w:color="auto"/>
      </w:divBdr>
    </w:div>
    <w:div w:id="487554837">
      <w:bodyDiv w:val="1"/>
      <w:marLeft w:val="0"/>
      <w:marRight w:val="0"/>
      <w:marTop w:val="0"/>
      <w:marBottom w:val="0"/>
      <w:divBdr>
        <w:top w:val="none" w:sz="0" w:space="0" w:color="auto"/>
        <w:left w:val="none" w:sz="0" w:space="0" w:color="auto"/>
        <w:bottom w:val="none" w:sz="0" w:space="0" w:color="auto"/>
        <w:right w:val="none" w:sz="0" w:space="0" w:color="auto"/>
      </w:divBdr>
      <w:divsChild>
        <w:div w:id="1712344587">
          <w:marLeft w:val="0"/>
          <w:marRight w:val="0"/>
          <w:marTop w:val="0"/>
          <w:marBottom w:val="0"/>
          <w:divBdr>
            <w:top w:val="none" w:sz="0" w:space="0" w:color="auto"/>
            <w:left w:val="none" w:sz="0" w:space="0" w:color="auto"/>
            <w:bottom w:val="none" w:sz="0" w:space="0" w:color="auto"/>
            <w:right w:val="none" w:sz="0" w:space="0" w:color="auto"/>
          </w:divBdr>
          <w:divsChild>
            <w:div w:id="2120298785">
              <w:marLeft w:val="0"/>
              <w:marRight w:val="0"/>
              <w:marTop w:val="0"/>
              <w:marBottom w:val="0"/>
              <w:divBdr>
                <w:top w:val="none" w:sz="0" w:space="0" w:color="auto"/>
                <w:left w:val="none" w:sz="0" w:space="0" w:color="auto"/>
                <w:bottom w:val="none" w:sz="0" w:space="0" w:color="auto"/>
                <w:right w:val="none" w:sz="0" w:space="0" w:color="auto"/>
              </w:divBdr>
              <w:divsChild>
                <w:div w:id="131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7972">
      <w:bodyDiv w:val="1"/>
      <w:marLeft w:val="0"/>
      <w:marRight w:val="0"/>
      <w:marTop w:val="0"/>
      <w:marBottom w:val="0"/>
      <w:divBdr>
        <w:top w:val="none" w:sz="0" w:space="0" w:color="auto"/>
        <w:left w:val="none" w:sz="0" w:space="0" w:color="auto"/>
        <w:bottom w:val="none" w:sz="0" w:space="0" w:color="auto"/>
        <w:right w:val="none" w:sz="0" w:space="0" w:color="auto"/>
      </w:divBdr>
    </w:div>
    <w:div w:id="554893762">
      <w:bodyDiv w:val="1"/>
      <w:marLeft w:val="0"/>
      <w:marRight w:val="0"/>
      <w:marTop w:val="0"/>
      <w:marBottom w:val="0"/>
      <w:divBdr>
        <w:top w:val="none" w:sz="0" w:space="0" w:color="auto"/>
        <w:left w:val="none" w:sz="0" w:space="0" w:color="auto"/>
        <w:bottom w:val="none" w:sz="0" w:space="0" w:color="auto"/>
        <w:right w:val="none" w:sz="0" w:space="0" w:color="auto"/>
      </w:divBdr>
    </w:div>
    <w:div w:id="586965409">
      <w:bodyDiv w:val="1"/>
      <w:marLeft w:val="0"/>
      <w:marRight w:val="0"/>
      <w:marTop w:val="0"/>
      <w:marBottom w:val="0"/>
      <w:divBdr>
        <w:top w:val="none" w:sz="0" w:space="0" w:color="auto"/>
        <w:left w:val="none" w:sz="0" w:space="0" w:color="auto"/>
        <w:bottom w:val="none" w:sz="0" w:space="0" w:color="auto"/>
        <w:right w:val="none" w:sz="0" w:space="0" w:color="auto"/>
      </w:divBdr>
    </w:div>
    <w:div w:id="786198793">
      <w:bodyDiv w:val="1"/>
      <w:marLeft w:val="0"/>
      <w:marRight w:val="0"/>
      <w:marTop w:val="0"/>
      <w:marBottom w:val="0"/>
      <w:divBdr>
        <w:top w:val="none" w:sz="0" w:space="0" w:color="auto"/>
        <w:left w:val="none" w:sz="0" w:space="0" w:color="auto"/>
        <w:bottom w:val="none" w:sz="0" w:space="0" w:color="auto"/>
        <w:right w:val="none" w:sz="0" w:space="0" w:color="auto"/>
      </w:divBdr>
    </w:div>
    <w:div w:id="1007489038">
      <w:bodyDiv w:val="1"/>
      <w:marLeft w:val="0"/>
      <w:marRight w:val="0"/>
      <w:marTop w:val="0"/>
      <w:marBottom w:val="0"/>
      <w:divBdr>
        <w:top w:val="none" w:sz="0" w:space="0" w:color="auto"/>
        <w:left w:val="none" w:sz="0" w:space="0" w:color="auto"/>
        <w:bottom w:val="none" w:sz="0" w:space="0" w:color="auto"/>
        <w:right w:val="none" w:sz="0" w:space="0" w:color="auto"/>
      </w:divBdr>
      <w:divsChild>
        <w:div w:id="1179999163">
          <w:marLeft w:val="0"/>
          <w:marRight w:val="0"/>
          <w:marTop w:val="0"/>
          <w:marBottom w:val="150"/>
          <w:divBdr>
            <w:top w:val="none" w:sz="0" w:space="0" w:color="auto"/>
            <w:left w:val="none" w:sz="0" w:space="0" w:color="auto"/>
            <w:bottom w:val="none" w:sz="0" w:space="0" w:color="auto"/>
            <w:right w:val="none" w:sz="0" w:space="0" w:color="auto"/>
          </w:divBdr>
          <w:divsChild>
            <w:div w:id="381297455">
              <w:marLeft w:val="0"/>
              <w:marRight w:val="0"/>
              <w:marTop w:val="0"/>
              <w:marBottom w:val="0"/>
              <w:divBdr>
                <w:top w:val="none" w:sz="0" w:space="0" w:color="auto"/>
                <w:left w:val="none" w:sz="0" w:space="0" w:color="auto"/>
                <w:bottom w:val="none" w:sz="0" w:space="0" w:color="auto"/>
                <w:right w:val="none" w:sz="0" w:space="0" w:color="auto"/>
              </w:divBdr>
              <w:divsChild>
                <w:div w:id="461046845">
                  <w:marLeft w:val="0"/>
                  <w:marRight w:val="0"/>
                  <w:marTop w:val="0"/>
                  <w:marBottom w:val="0"/>
                  <w:divBdr>
                    <w:top w:val="none" w:sz="0" w:space="0" w:color="auto"/>
                    <w:left w:val="none" w:sz="0" w:space="0" w:color="auto"/>
                    <w:bottom w:val="none" w:sz="0" w:space="0" w:color="auto"/>
                    <w:right w:val="none" w:sz="0" w:space="0" w:color="auto"/>
                  </w:divBdr>
                  <w:divsChild>
                    <w:div w:id="2018728143">
                      <w:marLeft w:val="0"/>
                      <w:marRight w:val="75"/>
                      <w:marTop w:val="0"/>
                      <w:marBottom w:val="0"/>
                      <w:divBdr>
                        <w:top w:val="none" w:sz="0" w:space="0" w:color="auto"/>
                        <w:left w:val="none" w:sz="0" w:space="0" w:color="auto"/>
                        <w:bottom w:val="none" w:sz="0" w:space="0" w:color="auto"/>
                        <w:right w:val="none" w:sz="0" w:space="0" w:color="auto"/>
                      </w:divBdr>
                    </w:div>
                    <w:div w:id="204940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78465">
      <w:bodyDiv w:val="1"/>
      <w:marLeft w:val="0"/>
      <w:marRight w:val="0"/>
      <w:marTop w:val="0"/>
      <w:marBottom w:val="0"/>
      <w:divBdr>
        <w:top w:val="none" w:sz="0" w:space="0" w:color="auto"/>
        <w:left w:val="none" w:sz="0" w:space="0" w:color="auto"/>
        <w:bottom w:val="none" w:sz="0" w:space="0" w:color="auto"/>
        <w:right w:val="none" w:sz="0" w:space="0" w:color="auto"/>
      </w:divBdr>
      <w:divsChild>
        <w:div w:id="814107506">
          <w:marLeft w:val="0"/>
          <w:marRight w:val="0"/>
          <w:marTop w:val="0"/>
          <w:marBottom w:val="0"/>
          <w:divBdr>
            <w:top w:val="none" w:sz="0" w:space="0" w:color="auto"/>
            <w:left w:val="none" w:sz="0" w:space="0" w:color="auto"/>
            <w:bottom w:val="none" w:sz="0" w:space="0" w:color="auto"/>
            <w:right w:val="none" w:sz="0" w:space="0" w:color="auto"/>
          </w:divBdr>
        </w:div>
        <w:div w:id="1809007953">
          <w:marLeft w:val="0"/>
          <w:marRight w:val="0"/>
          <w:marTop w:val="0"/>
          <w:marBottom w:val="0"/>
          <w:divBdr>
            <w:top w:val="none" w:sz="0" w:space="0" w:color="auto"/>
            <w:left w:val="none" w:sz="0" w:space="0" w:color="auto"/>
            <w:bottom w:val="none" w:sz="0" w:space="0" w:color="auto"/>
            <w:right w:val="none" w:sz="0" w:space="0" w:color="auto"/>
          </w:divBdr>
        </w:div>
      </w:divsChild>
    </w:div>
    <w:div w:id="1389064048">
      <w:bodyDiv w:val="1"/>
      <w:marLeft w:val="0"/>
      <w:marRight w:val="0"/>
      <w:marTop w:val="0"/>
      <w:marBottom w:val="0"/>
      <w:divBdr>
        <w:top w:val="none" w:sz="0" w:space="0" w:color="auto"/>
        <w:left w:val="none" w:sz="0" w:space="0" w:color="auto"/>
        <w:bottom w:val="none" w:sz="0" w:space="0" w:color="auto"/>
        <w:right w:val="none" w:sz="0" w:space="0" w:color="auto"/>
      </w:divBdr>
      <w:divsChild>
        <w:div w:id="991064684">
          <w:marLeft w:val="0"/>
          <w:marRight w:val="0"/>
          <w:marTop w:val="0"/>
          <w:marBottom w:val="0"/>
          <w:divBdr>
            <w:top w:val="none" w:sz="0" w:space="0" w:color="auto"/>
            <w:left w:val="none" w:sz="0" w:space="0" w:color="auto"/>
            <w:bottom w:val="none" w:sz="0" w:space="0" w:color="auto"/>
            <w:right w:val="none" w:sz="0" w:space="0" w:color="auto"/>
          </w:divBdr>
        </w:div>
      </w:divsChild>
    </w:div>
    <w:div w:id="1459032428">
      <w:bodyDiv w:val="1"/>
      <w:marLeft w:val="0"/>
      <w:marRight w:val="0"/>
      <w:marTop w:val="0"/>
      <w:marBottom w:val="0"/>
      <w:divBdr>
        <w:top w:val="none" w:sz="0" w:space="0" w:color="auto"/>
        <w:left w:val="none" w:sz="0" w:space="0" w:color="auto"/>
        <w:bottom w:val="none" w:sz="0" w:space="0" w:color="auto"/>
        <w:right w:val="none" w:sz="0" w:space="0" w:color="auto"/>
      </w:divBdr>
      <w:divsChild>
        <w:div w:id="1428695092">
          <w:marLeft w:val="0"/>
          <w:marRight w:val="0"/>
          <w:marTop w:val="0"/>
          <w:marBottom w:val="0"/>
          <w:divBdr>
            <w:top w:val="none" w:sz="0" w:space="0" w:color="auto"/>
            <w:left w:val="none" w:sz="0" w:space="0" w:color="auto"/>
            <w:bottom w:val="none" w:sz="0" w:space="0" w:color="auto"/>
            <w:right w:val="none" w:sz="0" w:space="0" w:color="auto"/>
          </w:divBdr>
          <w:divsChild>
            <w:div w:id="318655882">
              <w:marLeft w:val="0"/>
              <w:marRight w:val="0"/>
              <w:marTop w:val="0"/>
              <w:marBottom w:val="0"/>
              <w:divBdr>
                <w:top w:val="none" w:sz="0" w:space="0" w:color="auto"/>
                <w:left w:val="none" w:sz="0" w:space="0" w:color="auto"/>
                <w:bottom w:val="none" w:sz="0" w:space="0" w:color="auto"/>
                <w:right w:val="none" w:sz="0" w:space="0" w:color="auto"/>
              </w:divBdr>
              <w:divsChild>
                <w:div w:id="17483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5503">
      <w:bodyDiv w:val="1"/>
      <w:marLeft w:val="0"/>
      <w:marRight w:val="0"/>
      <w:marTop w:val="0"/>
      <w:marBottom w:val="0"/>
      <w:divBdr>
        <w:top w:val="none" w:sz="0" w:space="0" w:color="auto"/>
        <w:left w:val="none" w:sz="0" w:space="0" w:color="auto"/>
        <w:bottom w:val="none" w:sz="0" w:space="0" w:color="auto"/>
        <w:right w:val="none" w:sz="0" w:space="0" w:color="auto"/>
      </w:divBdr>
    </w:div>
    <w:div w:id="1701472136">
      <w:bodyDiv w:val="1"/>
      <w:marLeft w:val="0"/>
      <w:marRight w:val="0"/>
      <w:marTop w:val="0"/>
      <w:marBottom w:val="0"/>
      <w:divBdr>
        <w:top w:val="none" w:sz="0" w:space="0" w:color="auto"/>
        <w:left w:val="none" w:sz="0" w:space="0" w:color="auto"/>
        <w:bottom w:val="none" w:sz="0" w:space="0" w:color="auto"/>
        <w:right w:val="none" w:sz="0" w:space="0" w:color="auto"/>
      </w:divBdr>
    </w:div>
    <w:div w:id="1716999462">
      <w:bodyDiv w:val="1"/>
      <w:marLeft w:val="0"/>
      <w:marRight w:val="0"/>
      <w:marTop w:val="0"/>
      <w:marBottom w:val="0"/>
      <w:divBdr>
        <w:top w:val="none" w:sz="0" w:space="0" w:color="auto"/>
        <w:left w:val="none" w:sz="0" w:space="0" w:color="auto"/>
        <w:bottom w:val="none" w:sz="0" w:space="0" w:color="auto"/>
        <w:right w:val="none" w:sz="0" w:space="0" w:color="auto"/>
      </w:divBdr>
    </w:div>
    <w:div w:id="1742559778">
      <w:bodyDiv w:val="1"/>
      <w:marLeft w:val="0"/>
      <w:marRight w:val="0"/>
      <w:marTop w:val="0"/>
      <w:marBottom w:val="0"/>
      <w:divBdr>
        <w:top w:val="none" w:sz="0" w:space="0" w:color="auto"/>
        <w:left w:val="none" w:sz="0" w:space="0" w:color="auto"/>
        <w:bottom w:val="none" w:sz="0" w:space="0" w:color="auto"/>
        <w:right w:val="none" w:sz="0" w:space="0" w:color="auto"/>
      </w:divBdr>
    </w:div>
    <w:div w:id="1793012065">
      <w:bodyDiv w:val="1"/>
      <w:marLeft w:val="0"/>
      <w:marRight w:val="0"/>
      <w:marTop w:val="0"/>
      <w:marBottom w:val="0"/>
      <w:divBdr>
        <w:top w:val="none" w:sz="0" w:space="0" w:color="auto"/>
        <w:left w:val="none" w:sz="0" w:space="0" w:color="auto"/>
        <w:bottom w:val="none" w:sz="0" w:space="0" w:color="auto"/>
        <w:right w:val="none" w:sz="0" w:space="0" w:color="auto"/>
      </w:divBdr>
      <w:divsChild>
        <w:div w:id="711808125">
          <w:marLeft w:val="0"/>
          <w:marRight w:val="0"/>
          <w:marTop w:val="0"/>
          <w:marBottom w:val="0"/>
          <w:divBdr>
            <w:top w:val="none" w:sz="0" w:space="0" w:color="auto"/>
            <w:left w:val="none" w:sz="0" w:space="0" w:color="auto"/>
            <w:bottom w:val="none" w:sz="0" w:space="0" w:color="auto"/>
            <w:right w:val="none" w:sz="0" w:space="0" w:color="auto"/>
          </w:divBdr>
          <w:divsChild>
            <w:div w:id="1671326628">
              <w:marLeft w:val="0"/>
              <w:marRight w:val="0"/>
              <w:marTop w:val="0"/>
              <w:marBottom w:val="0"/>
              <w:divBdr>
                <w:top w:val="none" w:sz="0" w:space="0" w:color="auto"/>
                <w:left w:val="none" w:sz="0" w:space="0" w:color="auto"/>
                <w:bottom w:val="none" w:sz="0" w:space="0" w:color="auto"/>
                <w:right w:val="none" w:sz="0" w:space="0" w:color="auto"/>
              </w:divBdr>
              <w:divsChild>
                <w:div w:id="1344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3299">
      <w:bodyDiv w:val="1"/>
      <w:marLeft w:val="0"/>
      <w:marRight w:val="0"/>
      <w:marTop w:val="0"/>
      <w:marBottom w:val="0"/>
      <w:divBdr>
        <w:top w:val="none" w:sz="0" w:space="0" w:color="auto"/>
        <w:left w:val="none" w:sz="0" w:space="0" w:color="auto"/>
        <w:bottom w:val="none" w:sz="0" w:space="0" w:color="auto"/>
        <w:right w:val="none" w:sz="0" w:space="0" w:color="auto"/>
      </w:divBdr>
      <w:divsChild>
        <w:div w:id="920485519">
          <w:marLeft w:val="0"/>
          <w:marRight w:val="0"/>
          <w:marTop w:val="0"/>
          <w:marBottom w:val="0"/>
          <w:divBdr>
            <w:top w:val="none" w:sz="0" w:space="0" w:color="auto"/>
            <w:left w:val="none" w:sz="0" w:space="0" w:color="auto"/>
            <w:bottom w:val="none" w:sz="0" w:space="0" w:color="auto"/>
            <w:right w:val="none" w:sz="0" w:space="0" w:color="auto"/>
          </w:divBdr>
          <w:divsChild>
            <w:div w:id="1363022073">
              <w:marLeft w:val="0"/>
              <w:marRight w:val="0"/>
              <w:marTop w:val="0"/>
              <w:marBottom w:val="0"/>
              <w:divBdr>
                <w:top w:val="none" w:sz="0" w:space="0" w:color="auto"/>
                <w:left w:val="none" w:sz="0" w:space="0" w:color="auto"/>
                <w:bottom w:val="none" w:sz="0" w:space="0" w:color="auto"/>
                <w:right w:val="none" w:sz="0" w:space="0" w:color="auto"/>
              </w:divBdr>
              <w:divsChild>
                <w:div w:id="161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30527">
      <w:bodyDiv w:val="1"/>
      <w:marLeft w:val="0"/>
      <w:marRight w:val="0"/>
      <w:marTop w:val="0"/>
      <w:marBottom w:val="0"/>
      <w:divBdr>
        <w:top w:val="none" w:sz="0" w:space="0" w:color="auto"/>
        <w:left w:val="none" w:sz="0" w:space="0" w:color="auto"/>
        <w:bottom w:val="none" w:sz="0" w:space="0" w:color="auto"/>
        <w:right w:val="none" w:sz="0" w:space="0" w:color="auto"/>
      </w:divBdr>
      <w:divsChild>
        <w:div w:id="580723494">
          <w:marLeft w:val="0"/>
          <w:marRight w:val="0"/>
          <w:marTop w:val="0"/>
          <w:marBottom w:val="0"/>
          <w:divBdr>
            <w:top w:val="none" w:sz="0" w:space="0" w:color="auto"/>
            <w:left w:val="none" w:sz="0" w:space="0" w:color="auto"/>
            <w:bottom w:val="none" w:sz="0" w:space="0" w:color="auto"/>
            <w:right w:val="none" w:sz="0" w:space="0" w:color="auto"/>
          </w:divBdr>
          <w:divsChild>
            <w:div w:id="537010099">
              <w:marLeft w:val="0"/>
              <w:marRight w:val="0"/>
              <w:marTop w:val="0"/>
              <w:marBottom w:val="150"/>
              <w:divBdr>
                <w:top w:val="none" w:sz="0" w:space="0" w:color="auto"/>
                <w:left w:val="none" w:sz="0" w:space="0" w:color="auto"/>
                <w:bottom w:val="none" w:sz="0" w:space="0" w:color="auto"/>
                <w:right w:val="none" w:sz="0" w:space="0" w:color="auto"/>
              </w:divBdr>
              <w:divsChild>
                <w:div w:id="1361710375">
                  <w:marLeft w:val="0"/>
                  <w:marRight w:val="0"/>
                  <w:marTop w:val="0"/>
                  <w:marBottom w:val="0"/>
                  <w:divBdr>
                    <w:top w:val="none" w:sz="0" w:space="0" w:color="auto"/>
                    <w:left w:val="none" w:sz="0" w:space="0" w:color="auto"/>
                    <w:bottom w:val="none" w:sz="0" w:space="0" w:color="auto"/>
                    <w:right w:val="none" w:sz="0" w:space="0" w:color="auto"/>
                  </w:divBdr>
                  <w:divsChild>
                    <w:div w:id="836115687">
                      <w:marLeft w:val="0"/>
                      <w:marRight w:val="0"/>
                      <w:marTop w:val="0"/>
                      <w:marBottom w:val="0"/>
                      <w:divBdr>
                        <w:top w:val="none" w:sz="0" w:space="0" w:color="auto"/>
                        <w:left w:val="none" w:sz="0" w:space="0" w:color="auto"/>
                        <w:bottom w:val="none" w:sz="0" w:space="0" w:color="auto"/>
                        <w:right w:val="none" w:sz="0" w:space="0" w:color="auto"/>
                      </w:divBdr>
                      <w:divsChild>
                        <w:div w:id="9648938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9928">
          <w:marLeft w:val="0"/>
          <w:marRight w:val="0"/>
          <w:marTop w:val="0"/>
          <w:marBottom w:val="0"/>
          <w:divBdr>
            <w:top w:val="none" w:sz="0" w:space="0" w:color="auto"/>
            <w:left w:val="none" w:sz="0" w:space="0" w:color="auto"/>
            <w:bottom w:val="none" w:sz="0" w:space="0" w:color="auto"/>
            <w:right w:val="none" w:sz="0" w:space="0" w:color="auto"/>
          </w:divBdr>
        </w:div>
      </w:divsChild>
    </w:div>
    <w:div w:id="2030374968">
      <w:bodyDiv w:val="1"/>
      <w:marLeft w:val="0"/>
      <w:marRight w:val="0"/>
      <w:marTop w:val="0"/>
      <w:marBottom w:val="0"/>
      <w:divBdr>
        <w:top w:val="none" w:sz="0" w:space="0" w:color="auto"/>
        <w:left w:val="none" w:sz="0" w:space="0" w:color="auto"/>
        <w:bottom w:val="none" w:sz="0" w:space="0" w:color="auto"/>
        <w:right w:val="none" w:sz="0" w:space="0" w:color="auto"/>
      </w:divBdr>
      <w:divsChild>
        <w:div w:id="1796100561">
          <w:marLeft w:val="0"/>
          <w:marRight w:val="0"/>
          <w:marTop w:val="0"/>
          <w:marBottom w:val="0"/>
          <w:divBdr>
            <w:top w:val="none" w:sz="0" w:space="0" w:color="auto"/>
            <w:left w:val="none" w:sz="0" w:space="0" w:color="auto"/>
            <w:bottom w:val="none" w:sz="0" w:space="0" w:color="auto"/>
            <w:right w:val="none" w:sz="0" w:space="0" w:color="auto"/>
          </w:divBdr>
        </w:div>
        <w:div w:id="1878348965">
          <w:marLeft w:val="0"/>
          <w:marRight w:val="0"/>
          <w:marTop w:val="0"/>
          <w:marBottom w:val="0"/>
          <w:divBdr>
            <w:top w:val="none" w:sz="0" w:space="0" w:color="auto"/>
            <w:left w:val="none" w:sz="0" w:space="0" w:color="auto"/>
            <w:bottom w:val="none" w:sz="0" w:space="0" w:color="auto"/>
            <w:right w:val="none" w:sz="0" w:space="0" w:color="auto"/>
          </w:divBdr>
        </w:div>
        <w:div w:id="1844398028">
          <w:marLeft w:val="0"/>
          <w:marRight w:val="0"/>
          <w:marTop w:val="0"/>
          <w:marBottom w:val="0"/>
          <w:divBdr>
            <w:top w:val="none" w:sz="0" w:space="0" w:color="auto"/>
            <w:left w:val="none" w:sz="0" w:space="0" w:color="auto"/>
            <w:bottom w:val="none" w:sz="0" w:space="0" w:color="auto"/>
            <w:right w:val="none" w:sz="0" w:space="0" w:color="auto"/>
          </w:divBdr>
        </w:div>
        <w:div w:id="2166695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3886/ICPSR37635.v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ruckman@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CCF8-7D8F-41FC-BBCE-8995D666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6410</Words>
  <Characters>38082</Characters>
  <Application>Microsoft Office Word</Application>
  <DocSecurity>0</DocSecurity>
  <Lines>577</Lines>
  <Paragraphs>183</Paragraphs>
  <ScaleCrop>false</ScaleCrop>
  <HeadingPairs>
    <vt:vector size="2" baseType="variant">
      <vt:variant>
        <vt:lpstr>Title</vt:lpstr>
      </vt:variant>
      <vt:variant>
        <vt:i4>1</vt:i4>
      </vt:variant>
    </vt:vector>
  </HeadingPairs>
  <TitlesOfParts>
    <vt:vector size="1" baseType="lpstr">
      <vt:lpstr/>
    </vt:vector>
  </TitlesOfParts>
  <Company>Northwestern Unviserity</Company>
  <LinksUpToDate>false</LinksUpToDate>
  <CharactersWithSpaces>44309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N Druckman</cp:lastModifiedBy>
  <cp:revision>3</cp:revision>
  <cp:lastPrinted>2021-08-24T22:59:00Z</cp:lastPrinted>
  <dcterms:created xsi:type="dcterms:W3CDTF">2021-11-01T00:28:00Z</dcterms:created>
  <dcterms:modified xsi:type="dcterms:W3CDTF">2021-11-01T00:32:00Z</dcterms:modified>
</cp:coreProperties>
</file>